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056" w:rsidRDefault="00356056" w:rsidP="00356056">
      <w:bookmarkStart w:id="0" w:name="_GoBack"/>
      <w:bookmarkEnd w:id="0"/>
      <w:r>
        <w:rPr>
          <w:b/>
        </w:rPr>
        <w:t>ADMISSIONS COMMITTEE REPORT: DECEMBER 2013</w:t>
      </w:r>
    </w:p>
    <w:p w:rsidR="00356056" w:rsidRDefault="00356056"/>
    <w:p w:rsidR="00356056" w:rsidRDefault="00356056" w:rsidP="00356056">
      <w:r>
        <w:t xml:space="preserve">The committee met November 5.  In attendance were Irene De </w:t>
      </w:r>
      <w:proofErr w:type="spellStart"/>
      <w:r>
        <w:t>Masi</w:t>
      </w:r>
      <w:proofErr w:type="spellEnd"/>
      <w:r>
        <w:t xml:space="preserve">, Marianne Lloyd, Mark </w:t>
      </w:r>
      <w:proofErr w:type="spellStart"/>
      <w:r>
        <w:t>Holtzman</w:t>
      </w:r>
      <w:proofErr w:type="spellEnd"/>
      <w:r>
        <w:t>, C. Lynn Carr, and Eric Johnston (chair).</w:t>
      </w:r>
    </w:p>
    <w:p w:rsidR="00356056" w:rsidRDefault="00356056"/>
    <w:p w:rsidR="00356056" w:rsidRPr="00356056" w:rsidRDefault="00356056" w:rsidP="00356056">
      <w:pPr>
        <w:pStyle w:val="ListParagraph"/>
        <w:numPr>
          <w:ilvl w:val="0"/>
          <w:numId w:val="1"/>
        </w:numPr>
      </w:pPr>
      <w:r>
        <w:t xml:space="preserve">Chris Kaiser wrote to the committee about changing the policy for students who are returning after an </w:t>
      </w:r>
      <w:r w:rsidRPr="00931B26">
        <w:rPr>
          <w:b/>
        </w:rPr>
        <w:t>extended absence</w:t>
      </w:r>
      <w:r>
        <w:t>.  The current policy says, “</w:t>
      </w:r>
      <w:r>
        <w:rPr>
          <w:rFonts w:ascii="Calibri" w:hAnsi="Calibri"/>
          <w:color w:val="222222"/>
          <w:shd w:val="clear" w:color="auto" w:fill="FFFFFF"/>
        </w:rPr>
        <w:t xml:space="preserve">If you are gone five years or less you can automatically default into your old catalog. If you are gone more than 5 years you are subject to re-evaluation to determine appropriate catalog.”  Should we change it so that all students default to their original catalog?  The committee voted </w:t>
      </w:r>
      <w:r w:rsidR="00931B26">
        <w:rPr>
          <w:rFonts w:ascii="Calibri" w:hAnsi="Calibri"/>
          <w:color w:val="222222"/>
          <w:shd w:val="clear" w:color="auto" w:fill="FFFFFF"/>
        </w:rPr>
        <w:t xml:space="preserve">unanimously </w:t>
      </w:r>
      <w:r>
        <w:rPr>
          <w:rFonts w:ascii="Calibri" w:hAnsi="Calibri"/>
          <w:color w:val="222222"/>
          <w:shd w:val="clear" w:color="auto" w:fill="FFFFFF"/>
        </w:rPr>
        <w:t xml:space="preserve">to retain the current policy – and Dr. Kaiser immediately announced our decision to the Senior Associate Registrar, Autumn </w:t>
      </w:r>
      <w:proofErr w:type="spellStart"/>
      <w:r>
        <w:rPr>
          <w:rFonts w:ascii="Calibri" w:hAnsi="Calibri"/>
          <w:color w:val="222222"/>
          <w:shd w:val="clear" w:color="auto" w:fill="FFFFFF"/>
        </w:rPr>
        <w:t>Bociar</w:t>
      </w:r>
      <w:proofErr w:type="spellEnd"/>
      <w:r>
        <w:rPr>
          <w:rFonts w:ascii="Calibri" w:hAnsi="Calibri"/>
          <w:color w:val="222222"/>
          <w:shd w:val="clear" w:color="auto" w:fill="FFFFFF"/>
        </w:rPr>
        <w:t>,</w:t>
      </w:r>
      <w:r w:rsidR="00B11DF7">
        <w:rPr>
          <w:rFonts w:ascii="Calibri" w:hAnsi="Calibri"/>
          <w:color w:val="222222"/>
          <w:shd w:val="clear" w:color="auto" w:fill="FFFFFF"/>
        </w:rPr>
        <w:t xml:space="preserve"> </w:t>
      </w:r>
      <w:r>
        <w:rPr>
          <w:rFonts w:ascii="Calibri" w:hAnsi="Calibri"/>
          <w:color w:val="222222"/>
          <w:shd w:val="clear" w:color="auto" w:fill="FFFFFF"/>
        </w:rPr>
        <w:t>as policy!</w:t>
      </w:r>
    </w:p>
    <w:p w:rsidR="00356056" w:rsidRDefault="00356056" w:rsidP="00356056">
      <w:pPr>
        <w:pStyle w:val="ListParagraph"/>
        <w:rPr>
          <w:rFonts w:ascii="Calibri" w:hAnsi="Calibri"/>
          <w:color w:val="222222"/>
          <w:shd w:val="clear" w:color="auto" w:fill="FFFFFF"/>
        </w:rPr>
      </w:pPr>
      <w:r>
        <w:rPr>
          <w:rFonts w:ascii="Calibri" w:hAnsi="Calibri"/>
          <w:color w:val="222222"/>
          <w:shd w:val="clear" w:color="auto" w:fill="FFFFFF"/>
        </w:rPr>
        <w:t xml:space="preserve">(The committee judged that in some fields, especially those relating to technology, standards change </w:t>
      </w:r>
      <w:r w:rsidR="00931B26">
        <w:rPr>
          <w:rFonts w:ascii="Calibri" w:hAnsi="Calibri"/>
          <w:color w:val="222222"/>
          <w:shd w:val="clear" w:color="auto" w:fill="FFFFFF"/>
        </w:rPr>
        <w:t xml:space="preserve">enough </w:t>
      </w:r>
      <w:r>
        <w:rPr>
          <w:rFonts w:ascii="Calibri" w:hAnsi="Calibri"/>
          <w:color w:val="222222"/>
          <w:shd w:val="clear" w:color="auto" w:fill="FFFFFF"/>
        </w:rPr>
        <w:t xml:space="preserve">over time that </w:t>
      </w:r>
      <w:r w:rsidR="00773BFA">
        <w:rPr>
          <w:rFonts w:ascii="Calibri" w:hAnsi="Calibri"/>
          <w:color w:val="222222"/>
          <w:shd w:val="clear" w:color="auto" w:fill="FFFFFF"/>
        </w:rPr>
        <w:t>schools should review applications to return to older catalogs.)</w:t>
      </w:r>
    </w:p>
    <w:p w:rsidR="00773BFA" w:rsidRDefault="00773BFA" w:rsidP="00773BFA">
      <w:pPr>
        <w:pStyle w:val="ListParagraph"/>
        <w:numPr>
          <w:ilvl w:val="0"/>
          <w:numId w:val="1"/>
        </w:numPr>
      </w:pPr>
      <w:r w:rsidRPr="00931B26">
        <w:rPr>
          <w:b/>
        </w:rPr>
        <w:t>Wendy Lin-Cook</w:t>
      </w:r>
      <w:r>
        <w:t>, Associate Vice-President for Admissions, briefed the committee on recruiting strategies.  She showed us many materials and was very informative.</w:t>
      </w:r>
    </w:p>
    <w:p w:rsidR="00773BFA" w:rsidRDefault="00931B26" w:rsidP="00773BFA">
      <w:pPr>
        <w:pStyle w:val="ListParagraph"/>
        <w:numPr>
          <w:ilvl w:val="0"/>
          <w:numId w:val="1"/>
        </w:numPr>
      </w:pPr>
      <w:r>
        <w:t xml:space="preserve">She </w:t>
      </w:r>
      <w:r w:rsidR="00773BFA">
        <w:t xml:space="preserve">began by saying recruitment strategies follow the </w:t>
      </w:r>
      <w:r w:rsidR="00773BFA" w:rsidRPr="00931B26">
        <w:rPr>
          <w:b/>
        </w:rPr>
        <w:t>Strategic Plan</w:t>
      </w:r>
      <w:r w:rsidR="00773BFA">
        <w:t xml:space="preserve">.  </w:t>
      </w:r>
      <w:r>
        <w:t>H</w:t>
      </w:r>
      <w:r w:rsidR="00773BFA">
        <w:t>er briefing</w:t>
      </w:r>
      <w:r>
        <w:t>, however,</w:t>
      </w:r>
      <w:r w:rsidR="00773BFA">
        <w:t xml:space="preserve"> said much about the sections of the Plan on “Distinction in Academics and Scholarship” and “High Expectations for Student Success,” but never mentioned “A Home for the Mind, the Heart, and the Spirit,” “Focus on Community,” or “</w:t>
      </w:r>
      <w:r w:rsidR="00B11DF7">
        <w:t>Responsibility</w:t>
      </w:r>
      <w:r w:rsidR="00773BFA">
        <w:t xml:space="preserve"> in Stewardship.”  (“Ambition in Outreach” is debatable.)  “Revenue Stream” and US News Rankings might be better descriptors than the Strategic Plan.</w:t>
      </w:r>
    </w:p>
    <w:p w:rsidR="00773BFA" w:rsidRDefault="00931B26" w:rsidP="00773BFA">
      <w:pPr>
        <w:pStyle w:val="ListParagraph"/>
        <w:numPr>
          <w:ilvl w:val="0"/>
          <w:numId w:val="1"/>
        </w:numPr>
      </w:pPr>
      <w:r>
        <w:t xml:space="preserve">She </w:t>
      </w:r>
      <w:r w:rsidR="00773BFA">
        <w:t xml:space="preserve">says her “primary </w:t>
      </w:r>
      <w:r w:rsidR="00773BFA" w:rsidRPr="00931B26">
        <w:rPr>
          <w:b/>
        </w:rPr>
        <w:t>goal</w:t>
      </w:r>
      <w:r w:rsidR="00773BFA">
        <w:t xml:space="preserve">” is to “increase selectivity.”  Other </w:t>
      </w:r>
      <w:r>
        <w:t xml:space="preserve">goals </w:t>
      </w:r>
      <w:r w:rsidR="00773BFA">
        <w:t xml:space="preserve">she mentioned were elevating the university’s academic profile, preparation </w:t>
      </w:r>
      <w:r>
        <w:t xml:space="preserve">of students </w:t>
      </w:r>
      <w:r w:rsidR="00773BFA">
        <w:t xml:space="preserve">for after college, and </w:t>
      </w:r>
      <w:r>
        <w:t xml:space="preserve">student </w:t>
      </w:r>
      <w:r w:rsidR="00773BFA">
        <w:t>relationships with faculty and the university.</w:t>
      </w:r>
    </w:p>
    <w:p w:rsidR="00773BFA" w:rsidRDefault="00931B26" w:rsidP="00773BFA">
      <w:pPr>
        <w:pStyle w:val="ListParagraph"/>
        <w:numPr>
          <w:ilvl w:val="0"/>
          <w:numId w:val="1"/>
        </w:numPr>
      </w:pPr>
      <w:r>
        <w:t xml:space="preserve">She discussed several </w:t>
      </w:r>
      <w:r w:rsidRPr="00931B26">
        <w:rPr>
          <w:b/>
        </w:rPr>
        <w:t>methods</w:t>
      </w:r>
      <w:r>
        <w:t xml:space="preserve">.  The Web Page has a feature “meet our leader” (featuring our own Mary </w:t>
      </w:r>
      <w:proofErr w:type="spellStart"/>
      <w:r>
        <w:t>Balk</w:t>
      </w:r>
      <w:r w:rsidR="00B11DF7">
        <w:t>u</w:t>
      </w:r>
      <w:r>
        <w:t>n</w:t>
      </w:r>
      <w:proofErr w:type="spellEnd"/>
      <w:r>
        <w:t>); and a 13-minutes video “where leaders learn,” primarily on academic excellence and faculty scholarship.  Seton Hall is on Facebook, though we do not advertise on the internet: we “know where the students are,” and internet ads are expensive.  We have top feeder high schools; a “counselor advisor board” brings guidance counselors to campus biannually and asks them what they want; we buy lists of students who got into Seton Hall and went elsewhere; direct-mail materials include personalized inserts about student interests; we host regional game nights around the country; and we have a Transfer Success Center.</w:t>
      </w:r>
    </w:p>
    <w:p w:rsidR="00931B26" w:rsidRDefault="00931B26" w:rsidP="00773BFA">
      <w:pPr>
        <w:pStyle w:val="ListParagraph"/>
        <w:numPr>
          <w:ilvl w:val="0"/>
          <w:numId w:val="1"/>
        </w:numPr>
      </w:pPr>
      <w:r>
        <w:t xml:space="preserve">Ways </w:t>
      </w:r>
      <w:r w:rsidRPr="00931B26">
        <w:rPr>
          <w:b/>
        </w:rPr>
        <w:t>faculty</w:t>
      </w:r>
      <w:r>
        <w:t xml:space="preserve"> can help: Prospective students “want to be talking to our faculty.”  Deans should be distributing admit lists so that faculty can call them.  And Admissions wants to hear about exceptional students who can be showcased.</w:t>
      </w:r>
    </w:p>
    <w:p w:rsidR="00931B26" w:rsidRDefault="00931B26" w:rsidP="00773BFA">
      <w:pPr>
        <w:pStyle w:val="ListParagraph"/>
        <w:numPr>
          <w:ilvl w:val="0"/>
          <w:numId w:val="1"/>
        </w:numPr>
      </w:pPr>
      <w:r w:rsidRPr="00931B26">
        <w:rPr>
          <w:b/>
        </w:rPr>
        <w:t>Graduate</w:t>
      </w:r>
      <w:r>
        <w:t xml:space="preserve"> Admissions: The Admissions page does include a whole section on Grad admissions.</w:t>
      </w:r>
    </w:p>
    <w:p w:rsidR="00773BFA" w:rsidRPr="00773BFA" w:rsidRDefault="00931B26" w:rsidP="00931B26">
      <w:pPr>
        <w:pStyle w:val="ListParagraph"/>
        <w:numPr>
          <w:ilvl w:val="0"/>
          <w:numId w:val="1"/>
        </w:numPr>
      </w:pPr>
      <w:r w:rsidRPr="00931B26">
        <w:rPr>
          <w:b/>
        </w:rPr>
        <w:t>Nursing</w:t>
      </w:r>
      <w:r>
        <w:t xml:space="preserve">: Nursing brings our largest percentage of transfers: they take pre-requisites at community colleges, graduate from Seton Hall – and often fail their board exams (NCLEX).  Transfer scholarships only last two years, feeding the problem.  Ms. Lin-Cook was impressive in her knowledge of this problem.  </w:t>
      </w:r>
    </w:p>
    <w:p w:rsidR="00B11DF7" w:rsidRDefault="00B11DF7" w:rsidP="00773BFA"/>
    <w:p w:rsidR="00773BFA" w:rsidRDefault="00931B26" w:rsidP="00773BFA">
      <w:r>
        <w:lastRenderedPageBreak/>
        <w:t>Respectfully submitted,</w:t>
      </w:r>
    </w:p>
    <w:p w:rsidR="00931B26" w:rsidRDefault="00931B26" w:rsidP="00773BFA">
      <w:r>
        <w:t>Eric Johnston</w:t>
      </w:r>
    </w:p>
    <w:sectPr w:rsidR="00931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66129"/>
    <w:multiLevelType w:val="hybridMultilevel"/>
    <w:tmpl w:val="C5027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056"/>
    <w:rsid w:val="000F19F4"/>
    <w:rsid w:val="00356056"/>
    <w:rsid w:val="00773BFA"/>
    <w:rsid w:val="0082523E"/>
    <w:rsid w:val="00931B26"/>
    <w:rsid w:val="00B11DF7"/>
    <w:rsid w:val="00C9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0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Seton Hall University</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User</dc:creator>
  <cp:lastModifiedBy>AutoBVT</cp:lastModifiedBy>
  <cp:revision>2</cp:revision>
  <dcterms:created xsi:type="dcterms:W3CDTF">2013-12-05T01:42:00Z</dcterms:created>
  <dcterms:modified xsi:type="dcterms:W3CDTF">2013-12-05T01:42:00Z</dcterms:modified>
</cp:coreProperties>
</file>