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6F" w:rsidRDefault="008E24EA" w:rsidP="008E24EA">
      <w:pPr>
        <w:spacing w:line="240" w:lineRule="auto"/>
        <w:rPr>
          <w:b/>
        </w:rPr>
      </w:pPr>
      <w:r w:rsidRPr="008E24EA">
        <w:rPr>
          <w:b/>
        </w:rPr>
        <w:t xml:space="preserve">Report of </w:t>
      </w:r>
      <w:r>
        <w:rPr>
          <w:b/>
        </w:rPr>
        <w:t>t</w:t>
      </w:r>
      <w:r w:rsidR="00E00D6F" w:rsidRPr="008E24EA">
        <w:rPr>
          <w:b/>
        </w:rPr>
        <w:t>he Senate Graduate Studies Committee</w:t>
      </w:r>
      <w:r w:rsidRPr="008E24EA">
        <w:rPr>
          <w:b/>
        </w:rPr>
        <w:t xml:space="preserve"> April 2014</w:t>
      </w:r>
    </w:p>
    <w:p w:rsidR="008E24EA" w:rsidRPr="008E24EA" w:rsidRDefault="008E24EA" w:rsidP="008E24EA">
      <w:pPr>
        <w:spacing w:line="240" w:lineRule="auto"/>
        <w:rPr>
          <w:b/>
        </w:rPr>
      </w:pPr>
    </w:p>
    <w:p w:rsidR="003D05F7" w:rsidRDefault="00E00D6F" w:rsidP="008E24EA">
      <w:pPr>
        <w:spacing w:line="240" w:lineRule="auto"/>
        <w:jc w:val="left"/>
      </w:pPr>
      <w:r>
        <w:t>The Senate graduate studies committee focused on two issues this year: 1) inequities in the workload of faculty supervising graduate students outside of their credited course-load as identified by the spring 2013 faculty graduate workload</w:t>
      </w:r>
      <w:r w:rsidR="005F566E">
        <w:t xml:space="preserve"> survey</w:t>
      </w:r>
      <w:r>
        <w:t xml:space="preserve">, and 2) </w:t>
      </w:r>
      <w:r w:rsidR="00063533">
        <w:t xml:space="preserve">issues associated with the decreases in graduate student enrollment at the University.  While the committee believes that addressing issues of inequity in faculty workloads is of high importance, a more pressing problem facing graduate education at the university is </w:t>
      </w:r>
      <w:r w:rsidR="00A45D44">
        <w:t xml:space="preserve">the ability to attract high-quality graduate students.  </w:t>
      </w:r>
      <w:r w:rsidR="008E24EA">
        <w:t>Thus, we are bringing the following motion to the Senate.</w:t>
      </w:r>
    </w:p>
    <w:p w:rsidR="003D05F7" w:rsidRDefault="003D05F7" w:rsidP="008E24EA">
      <w:pPr>
        <w:spacing w:line="240" w:lineRule="auto"/>
        <w:jc w:val="left"/>
      </w:pPr>
    </w:p>
    <w:p w:rsidR="008C39FE" w:rsidRPr="008E24EA" w:rsidRDefault="008C39FE" w:rsidP="008E24EA">
      <w:pPr>
        <w:spacing w:line="240" w:lineRule="auto"/>
        <w:jc w:val="left"/>
        <w:rPr>
          <w:u w:val="single"/>
        </w:rPr>
      </w:pPr>
      <w:r w:rsidRPr="008E24EA">
        <w:rPr>
          <w:u w:val="single"/>
        </w:rPr>
        <w:t>The Motion:</w:t>
      </w:r>
    </w:p>
    <w:p w:rsidR="004B4B73" w:rsidRDefault="00A45D44" w:rsidP="008E24EA">
      <w:pPr>
        <w:spacing w:line="240" w:lineRule="auto"/>
        <w:jc w:val="left"/>
      </w:pPr>
      <w:r>
        <w:t xml:space="preserve">Critical to attracting high-quality graduate students is the ability to offer them competitive teaching or graduate assistantship </w:t>
      </w:r>
      <w:r w:rsidR="0000132D">
        <w:t>stipends</w:t>
      </w:r>
      <w:r>
        <w:t xml:space="preserve">.  The current </w:t>
      </w:r>
      <w:r w:rsidR="0000132D">
        <w:t>stipends</w:t>
      </w:r>
      <w:r>
        <w:t xml:space="preserve"> at the University were last increased in 1987. </w:t>
      </w:r>
      <w:r w:rsidR="008E24EA">
        <w:t>Many</w:t>
      </w:r>
      <w:r>
        <w:t xml:space="preserve"> factors, including national-level trends in graduate education, affect the University’s graduate numbers. </w:t>
      </w:r>
      <w:r w:rsidR="00954581">
        <w:t>However, i</w:t>
      </w:r>
      <w:r>
        <w:t>t is not</w:t>
      </w:r>
      <w:r w:rsidR="00954581">
        <w:t xml:space="preserve"> </w:t>
      </w:r>
      <w:r w:rsidR="008F7577">
        <w:t>surprising</w:t>
      </w:r>
      <w:r>
        <w:t xml:space="preserve"> that the ability of the University to compete with other ins</w:t>
      </w:r>
      <w:bookmarkStart w:id="0" w:name="_GoBack"/>
      <w:bookmarkEnd w:id="0"/>
      <w:r>
        <w:t>titutions in attracting graduate students has declined given the decline in</w:t>
      </w:r>
      <w:r w:rsidR="00FB14F7">
        <w:t xml:space="preserve"> the</w:t>
      </w:r>
      <w:r>
        <w:t xml:space="preserve"> </w:t>
      </w:r>
      <w:r w:rsidRPr="00A45D44">
        <w:rPr>
          <w:i/>
        </w:rPr>
        <w:t>effective</w:t>
      </w:r>
      <w:r>
        <w:t xml:space="preserve"> </w:t>
      </w:r>
      <w:r w:rsidR="0000132D">
        <w:t>stipend</w:t>
      </w:r>
      <w:r>
        <w:t xml:space="preserve"> rate for these students.  </w:t>
      </w:r>
      <w:r w:rsidR="00AD61C9">
        <w:t xml:space="preserve">Seton Hall’s highest-paid graduate students, </w:t>
      </w:r>
      <w:r>
        <w:t>PhD-level teaching assistants</w:t>
      </w:r>
      <w:r w:rsidR="00AD61C9">
        <w:t>,</w:t>
      </w:r>
      <w:r>
        <w:t xml:space="preserve"> make </w:t>
      </w:r>
      <w:r w:rsidR="0000132D">
        <w:t xml:space="preserve">a </w:t>
      </w:r>
      <w:r>
        <w:t>$10,500</w:t>
      </w:r>
      <w:r w:rsidR="0000132D">
        <w:t xml:space="preserve"> stipend</w:t>
      </w:r>
      <w:r w:rsidR="00AD61C9">
        <w:t xml:space="preserve"> for the academic year and master’s-level teaching </w:t>
      </w:r>
      <w:r w:rsidR="001C3C4A">
        <w:t>assistants</w:t>
      </w:r>
      <w:r w:rsidR="00AD61C9">
        <w:t xml:space="preserve"> make $8480.</w:t>
      </w:r>
      <w:r>
        <w:t xml:space="preserve"> The average </w:t>
      </w:r>
      <w:r w:rsidR="0000132D">
        <w:t>stipend</w:t>
      </w:r>
      <w:r>
        <w:t xml:space="preserve"> for graduate teaching assistants in the state of New Jersey is $26,595 (2012 Bureau of Labor Statistics data converted to 9-month pay). </w:t>
      </w:r>
      <w:r w:rsidR="001C3C4A">
        <w:t>Seton Hall’s poorest-paid graduate assistants</w:t>
      </w:r>
      <w:r w:rsidR="00AD61C9">
        <w:t xml:space="preserve"> </w:t>
      </w:r>
      <w:r w:rsidR="0000132D">
        <w:t xml:space="preserve">are paid a </w:t>
      </w:r>
      <w:r w:rsidR="00AD61C9">
        <w:t>$5250</w:t>
      </w:r>
      <w:r w:rsidR="0000132D">
        <w:t xml:space="preserve"> stipend</w:t>
      </w:r>
      <w:r w:rsidR="00AD61C9">
        <w:t xml:space="preserve"> for a 20-hour w</w:t>
      </w:r>
      <w:r w:rsidR="001C3C4A">
        <w:t>ork week for</w:t>
      </w:r>
      <w:r w:rsidR="00AD61C9">
        <w:t xml:space="preserve"> 10 months. Other institutions offer much higher </w:t>
      </w:r>
      <w:r w:rsidR="0000132D">
        <w:t>stipends</w:t>
      </w:r>
      <w:r w:rsidR="00AD61C9">
        <w:t xml:space="preserve"> to their master’s level research assistants. Villanova offers an average stipend of $14,680 f</w:t>
      </w:r>
      <w:r w:rsidR="0000132D">
        <w:t>or 20 hours a week for 9-months;</w:t>
      </w:r>
      <w:r w:rsidR="00AD61C9">
        <w:t xml:space="preserve"> Ohio State University has a minimum research assistantship stipend of $13,000</w:t>
      </w:r>
      <w:r w:rsidR="001C3C4A">
        <w:t xml:space="preserve"> for </w:t>
      </w:r>
      <w:proofErr w:type="gramStart"/>
      <w:r w:rsidR="001C3C4A">
        <w:t>the</w:t>
      </w:r>
      <w:proofErr w:type="gramEnd"/>
      <w:r w:rsidR="001C3C4A">
        <w:t xml:space="preserve"> academic year</w:t>
      </w:r>
      <w:r w:rsidR="00AD61C9">
        <w:t xml:space="preserve">. </w:t>
      </w:r>
    </w:p>
    <w:p w:rsidR="004B4B73" w:rsidRDefault="004B4B73" w:rsidP="008E24EA">
      <w:pPr>
        <w:spacing w:line="240" w:lineRule="auto"/>
        <w:jc w:val="left"/>
      </w:pPr>
    </w:p>
    <w:p w:rsidR="00E00D6F" w:rsidRDefault="00AD61C9" w:rsidP="008E24EA">
      <w:pPr>
        <w:spacing w:line="240" w:lineRule="auto"/>
        <w:jc w:val="left"/>
      </w:pPr>
      <w:r>
        <w:t xml:space="preserve">The issue of graduate student </w:t>
      </w:r>
      <w:r w:rsidR="0000132D">
        <w:t>stipends</w:t>
      </w:r>
      <w:r>
        <w:t xml:space="preserve"> is not only important to our ability to attract high quality graduate students and maintain high quality graduate </w:t>
      </w:r>
      <w:proofErr w:type="gramStart"/>
      <w:r>
        <w:t>programs,</w:t>
      </w:r>
      <w:proofErr w:type="gramEnd"/>
      <w:r>
        <w:t xml:space="preserve"> it is also an issue of importance to our mission as a Catholic institution. Federal poverty guidelines for a single individual in 2013 were $11,490 (which also </w:t>
      </w:r>
      <w:proofErr w:type="gramStart"/>
      <w:r w:rsidR="00E54F9E">
        <w:t>do</w:t>
      </w:r>
      <w:proofErr w:type="gramEnd"/>
      <w:r>
        <w:t xml:space="preserve"> not address the cost of living in the greater NY metropolitan area).  Our students and students nationwide are burdened by higher and higher debt loads </w:t>
      </w:r>
      <w:r w:rsidR="00867037">
        <w:t>(</w:t>
      </w:r>
      <w:hyperlink r:id="rId5" w:history="1">
        <w:r w:rsidR="00FB14F7" w:rsidRPr="00174B52">
          <w:rPr>
            <w:rStyle w:val="Hyperlink"/>
          </w:rPr>
          <w:t>https://chronicle.com/article/Grad-School-Debt-Is-Said-to/145539/</w:t>
        </w:r>
      </w:hyperlink>
      <w:r w:rsidR="00FB14F7">
        <w:t xml:space="preserve"> </w:t>
      </w:r>
      <w:r w:rsidR="008C39FE">
        <w:t>;</w:t>
      </w:r>
      <w:r>
        <w:t xml:space="preserve"> </w:t>
      </w:r>
      <w:hyperlink r:id="rId6" w:history="1">
        <w:r w:rsidRPr="002F5E42">
          <w:rPr>
            <w:rStyle w:val="Hyperlink"/>
          </w:rPr>
          <w:t>http://chronicle.com/article/To-Improve-Equity-Focus-on/144759/</w:t>
        </w:r>
      </w:hyperlink>
      <w:r w:rsidR="008C39FE">
        <w:t>)</w:t>
      </w:r>
      <w:r w:rsidR="00FB14F7">
        <w:t>.</w:t>
      </w:r>
      <w:r w:rsidR="008C39FE">
        <w:t xml:space="preserve"> This is a </w:t>
      </w:r>
      <w:r w:rsidR="00FB14F7">
        <w:t xml:space="preserve">particular </w:t>
      </w:r>
      <w:r w:rsidR="008C39FE">
        <w:t>problem</w:t>
      </w:r>
      <w:r>
        <w:t xml:space="preserve"> </w:t>
      </w:r>
      <w:r w:rsidR="008C39FE">
        <w:t>for</w:t>
      </w:r>
      <w:r>
        <w:t xml:space="preserve"> students working in fields </w:t>
      </w:r>
      <w:r w:rsidR="00FB14F7">
        <w:t xml:space="preserve">with </w:t>
      </w:r>
      <w:r w:rsidR="008C39FE">
        <w:t>future</w:t>
      </w:r>
      <w:r>
        <w:t xml:space="preserve"> </w:t>
      </w:r>
      <w:r w:rsidR="00FB14F7">
        <w:t xml:space="preserve">salary expectations </w:t>
      </w:r>
      <w:r w:rsidR="008C39FE">
        <w:t xml:space="preserve">inadequate </w:t>
      </w:r>
      <w:r>
        <w:t xml:space="preserve">for paying off that debt. </w:t>
      </w:r>
    </w:p>
    <w:p w:rsidR="00867037" w:rsidRDefault="00867037" w:rsidP="008E24EA">
      <w:pPr>
        <w:spacing w:line="240" w:lineRule="auto"/>
        <w:jc w:val="left"/>
      </w:pPr>
    </w:p>
    <w:p w:rsidR="008C39FE" w:rsidRDefault="008C39FE" w:rsidP="008E24EA">
      <w:pPr>
        <w:spacing w:line="240" w:lineRule="auto"/>
        <w:jc w:val="left"/>
      </w:pPr>
      <w:r>
        <w:t>In addition to offering inadequate stipends, a comparison with 16 of our peer institutions reveals that Seton Hall ranks 12 out of 16 (4</w:t>
      </w:r>
      <w:r w:rsidRPr="008C39FE">
        <w:rPr>
          <w:vertAlign w:val="superscript"/>
        </w:rPr>
        <w:t>th</w:t>
      </w:r>
      <w:r>
        <w:t xml:space="preserve"> lowest) in the </w:t>
      </w:r>
      <w:r w:rsidR="00FB14F7">
        <w:t>percent</w:t>
      </w:r>
      <w:r>
        <w:t xml:space="preserve"> of graduate students receiving assistantships (see Figure </w:t>
      </w:r>
      <w:r w:rsidR="00381F83">
        <w:t>1 below generated from</w:t>
      </w:r>
      <w:r>
        <w:t xml:space="preserve"> </w:t>
      </w:r>
      <w:r w:rsidR="0067132F">
        <w:t>Integrated</w:t>
      </w:r>
      <w:r w:rsidR="00381F83">
        <w:t xml:space="preserve"> Postsecondary Education Data System data</w:t>
      </w:r>
      <w:r>
        <w:t xml:space="preserve">).  </w:t>
      </w:r>
    </w:p>
    <w:p w:rsidR="008C39FE" w:rsidRDefault="008C39FE" w:rsidP="008E24EA">
      <w:pPr>
        <w:spacing w:line="240" w:lineRule="auto"/>
        <w:jc w:val="left"/>
      </w:pPr>
    </w:p>
    <w:p w:rsidR="00E00D6F" w:rsidRDefault="00E00D6F" w:rsidP="008E24EA">
      <w:pPr>
        <w:spacing w:line="240" w:lineRule="auto"/>
        <w:jc w:val="left"/>
      </w:pPr>
    </w:p>
    <w:p w:rsidR="00D10D47" w:rsidRDefault="00D10D47" w:rsidP="008E24EA">
      <w:pPr>
        <w:spacing w:line="240" w:lineRule="auto"/>
        <w:jc w:val="left"/>
        <w:rPr>
          <w:noProof/>
        </w:rPr>
      </w:pPr>
    </w:p>
    <w:p w:rsidR="001F6C69" w:rsidRDefault="001F6C69" w:rsidP="008E24EA">
      <w:pPr>
        <w:spacing w:line="240" w:lineRule="auto"/>
        <w:jc w:val="left"/>
        <w:rPr>
          <w:noProof/>
        </w:rPr>
      </w:pPr>
    </w:p>
    <w:p w:rsidR="001F6C69" w:rsidRDefault="001F6C69" w:rsidP="008E24EA">
      <w:pPr>
        <w:spacing w:line="240" w:lineRule="auto"/>
        <w:jc w:val="left"/>
        <w:rPr>
          <w:noProof/>
        </w:rPr>
      </w:pPr>
    </w:p>
    <w:p w:rsidR="001F6C69" w:rsidRDefault="001F6C69" w:rsidP="008E24EA">
      <w:pPr>
        <w:spacing w:line="240" w:lineRule="auto"/>
        <w:jc w:val="left"/>
        <w:rPr>
          <w:noProof/>
        </w:rPr>
      </w:pPr>
    </w:p>
    <w:p w:rsidR="001F6C69" w:rsidRDefault="001F6C69" w:rsidP="008E24EA">
      <w:pPr>
        <w:spacing w:line="240" w:lineRule="auto"/>
        <w:jc w:val="left"/>
        <w:rPr>
          <w:noProof/>
        </w:rPr>
      </w:pPr>
    </w:p>
    <w:p w:rsidR="001F6C69" w:rsidRDefault="001F6C69" w:rsidP="008E24EA">
      <w:pPr>
        <w:spacing w:line="240" w:lineRule="auto"/>
        <w:jc w:val="left"/>
        <w:rPr>
          <w:noProof/>
        </w:rPr>
      </w:pPr>
    </w:p>
    <w:p w:rsidR="001F6C69" w:rsidRDefault="001F6C69" w:rsidP="008E24EA">
      <w:pPr>
        <w:spacing w:line="240" w:lineRule="auto"/>
        <w:jc w:val="left"/>
        <w:sectPr w:rsidR="001F6C69" w:rsidSect="0086703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F6C69" w:rsidRDefault="001F6C69" w:rsidP="008E24EA">
      <w:pPr>
        <w:spacing w:line="240" w:lineRule="auto"/>
        <w:jc w:val="left"/>
      </w:pPr>
      <w:r>
        <w:rPr>
          <w:noProof/>
        </w:rPr>
        <w:lastRenderedPageBreak/>
        <w:drawing>
          <wp:inline distT="0" distB="0" distL="0" distR="0" wp14:anchorId="202EDD97" wp14:editId="5E1ECC4C">
            <wp:extent cx="6827520" cy="5090160"/>
            <wp:effectExtent l="0" t="0" r="1143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6C69" w:rsidRDefault="001F6C69" w:rsidP="008E24EA">
      <w:pPr>
        <w:spacing w:line="240" w:lineRule="auto"/>
        <w:jc w:val="left"/>
      </w:pPr>
    </w:p>
    <w:p w:rsidR="001F6C69" w:rsidRDefault="001F6C69" w:rsidP="008E24EA">
      <w:pPr>
        <w:spacing w:line="240" w:lineRule="auto"/>
        <w:jc w:val="left"/>
        <w:sectPr w:rsidR="001F6C69" w:rsidSect="001F6C6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32130" w:rsidRPr="00234452" w:rsidRDefault="00F32130" w:rsidP="00F32130">
      <w:pPr>
        <w:spacing w:line="240" w:lineRule="auto"/>
        <w:jc w:val="left"/>
      </w:pPr>
      <w:proofErr w:type="gramStart"/>
      <w:r w:rsidRPr="00C77564">
        <w:rPr>
          <w:b/>
        </w:rPr>
        <w:lastRenderedPageBreak/>
        <w:t>Figure 1.</w:t>
      </w:r>
      <w:proofErr w:type="gramEnd"/>
      <w:r>
        <w:t xml:space="preserve">  On average across the 16 peer institutions, 9</w:t>
      </w:r>
      <w:r w:rsidR="0083599E">
        <w:t>.31</w:t>
      </w:r>
      <w:r>
        <w:t>% of graduate students receive assistantships. This average is depicted as the zero point on the y-axis. Bars represent the difference in the funding percentage of each school from the average.  Seton Hall fun</w:t>
      </w:r>
      <w:r w:rsidR="00B97D12">
        <w:t>ds an average of 4.98</w:t>
      </w:r>
      <w:r>
        <w:t>% of its graduate and professional students – the 4</w:t>
      </w:r>
      <w:r w:rsidRPr="00C77564">
        <w:rPr>
          <w:vertAlign w:val="superscript"/>
        </w:rPr>
        <w:t>th</w:t>
      </w:r>
      <w:r>
        <w:t xml:space="preserve"> lowest funding rate of its peer institutions. Peer institutions </w:t>
      </w:r>
      <w:r w:rsidR="008E361F">
        <w:t xml:space="preserve">are </w:t>
      </w:r>
      <w:r>
        <w:t>based on the 2013 IPEDS</w:t>
      </w:r>
      <w:r w:rsidRPr="00234452">
        <w:rPr>
          <w:color w:val="1F497D"/>
        </w:rPr>
        <w:t xml:space="preserve"> </w:t>
      </w:r>
      <w:r>
        <w:t xml:space="preserve">DATA FEEDBACK REPORT for Seton Hall, as obtained at the following link: </w:t>
      </w:r>
      <w:hyperlink r:id="rId8" w:history="1">
        <w:r>
          <w:rPr>
            <w:rStyle w:val="Hyperlink"/>
          </w:rPr>
          <w:t>http://nces.ed.gov/ipeds/datacenter/</w:t>
        </w:r>
      </w:hyperlink>
      <w:r>
        <w:rPr>
          <w:color w:val="1F497D"/>
        </w:rPr>
        <w:t>.</w:t>
      </w:r>
    </w:p>
    <w:p w:rsidR="001F6C69" w:rsidRDefault="001F6C69" w:rsidP="008E24EA">
      <w:pPr>
        <w:spacing w:line="240" w:lineRule="auto"/>
        <w:jc w:val="left"/>
      </w:pPr>
    </w:p>
    <w:p w:rsidR="00791DB9" w:rsidRPr="00BE2DAB" w:rsidRDefault="00791DB9" w:rsidP="00791DB9">
      <w:pPr>
        <w:spacing w:line="240" w:lineRule="auto"/>
        <w:jc w:val="left"/>
        <w:rPr>
          <w:b/>
        </w:rPr>
      </w:pPr>
      <w:r>
        <w:rPr>
          <w:b/>
        </w:rPr>
        <w:t xml:space="preserve">Motion: </w:t>
      </w:r>
      <w:r w:rsidRPr="00BE2DAB">
        <w:rPr>
          <w:b/>
        </w:rPr>
        <w:t xml:space="preserve">The Senate requests that within the next year the University develop a comprehensive plan for increasing the number of graduate assistantships and for addressing the immediate gap in graduate student stipends with planned cost of living increases built into future-year budgets.  </w:t>
      </w:r>
    </w:p>
    <w:p w:rsidR="00791DB9" w:rsidRDefault="00791DB9" w:rsidP="008E24EA">
      <w:pPr>
        <w:spacing w:line="240" w:lineRule="auto"/>
        <w:jc w:val="left"/>
      </w:pPr>
    </w:p>
    <w:sectPr w:rsidR="00791DB9" w:rsidSect="001F6C6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47"/>
    <w:rsid w:val="000008F5"/>
    <w:rsid w:val="0000132D"/>
    <w:rsid w:val="0000300A"/>
    <w:rsid w:val="00013414"/>
    <w:rsid w:val="000142EB"/>
    <w:rsid w:val="00022AEB"/>
    <w:rsid w:val="000246D3"/>
    <w:rsid w:val="000323D9"/>
    <w:rsid w:val="00034A62"/>
    <w:rsid w:val="00037CE6"/>
    <w:rsid w:val="00040592"/>
    <w:rsid w:val="00047D65"/>
    <w:rsid w:val="000513E9"/>
    <w:rsid w:val="00063533"/>
    <w:rsid w:val="00064188"/>
    <w:rsid w:val="00064597"/>
    <w:rsid w:val="00066744"/>
    <w:rsid w:val="000709D7"/>
    <w:rsid w:val="00070C20"/>
    <w:rsid w:val="00074A87"/>
    <w:rsid w:val="0007758B"/>
    <w:rsid w:val="000775BE"/>
    <w:rsid w:val="00080AF0"/>
    <w:rsid w:val="000814A5"/>
    <w:rsid w:val="000828FD"/>
    <w:rsid w:val="00082D69"/>
    <w:rsid w:val="000859BC"/>
    <w:rsid w:val="00085AC8"/>
    <w:rsid w:val="000905EF"/>
    <w:rsid w:val="00091CFA"/>
    <w:rsid w:val="000941A7"/>
    <w:rsid w:val="00095352"/>
    <w:rsid w:val="000A60A4"/>
    <w:rsid w:val="000B1BF9"/>
    <w:rsid w:val="000B54F6"/>
    <w:rsid w:val="000B6393"/>
    <w:rsid w:val="000D4001"/>
    <w:rsid w:val="000D5F90"/>
    <w:rsid w:val="000D7EBE"/>
    <w:rsid w:val="000E1A99"/>
    <w:rsid w:val="000E3914"/>
    <w:rsid w:val="000E792C"/>
    <w:rsid w:val="000F0F77"/>
    <w:rsid w:val="000F162D"/>
    <w:rsid w:val="000F356A"/>
    <w:rsid w:val="001021B9"/>
    <w:rsid w:val="00105EC0"/>
    <w:rsid w:val="00112039"/>
    <w:rsid w:val="00112215"/>
    <w:rsid w:val="0011293B"/>
    <w:rsid w:val="00116C27"/>
    <w:rsid w:val="00120CA7"/>
    <w:rsid w:val="00122C85"/>
    <w:rsid w:val="00122DDD"/>
    <w:rsid w:val="00131772"/>
    <w:rsid w:val="0013643B"/>
    <w:rsid w:val="00146920"/>
    <w:rsid w:val="00146C28"/>
    <w:rsid w:val="00154DF1"/>
    <w:rsid w:val="00166C32"/>
    <w:rsid w:val="00172B7D"/>
    <w:rsid w:val="00173BC4"/>
    <w:rsid w:val="0017744D"/>
    <w:rsid w:val="001851C5"/>
    <w:rsid w:val="00187BBE"/>
    <w:rsid w:val="00191047"/>
    <w:rsid w:val="00191DE9"/>
    <w:rsid w:val="00192899"/>
    <w:rsid w:val="001A174B"/>
    <w:rsid w:val="001B4DF3"/>
    <w:rsid w:val="001B577F"/>
    <w:rsid w:val="001B6918"/>
    <w:rsid w:val="001B6A27"/>
    <w:rsid w:val="001C160F"/>
    <w:rsid w:val="001C3C4A"/>
    <w:rsid w:val="001C402A"/>
    <w:rsid w:val="001C54EA"/>
    <w:rsid w:val="001C5CFE"/>
    <w:rsid w:val="001D2B24"/>
    <w:rsid w:val="001D64AE"/>
    <w:rsid w:val="001D72A5"/>
    <w:rsid w:val="001E12D9"/>
    <w:rsid w:val="001F3F87"/>
    <w:rsid w:val="001F5024"/>
    <w:rsid w:val="001F5600"/>
    <w:rsid w:val="001F6C69"/>
    <w:rsid w:val="001F6DF9"/>
    <w:rsid w:val="00200969"/>
    <w:rsid w:val="0020433A"/>
    <w:rsid w:val="00205D7B"/>
    <w:rsid w:val="002103DE"/>
    <w:rsid w:val="00220C91"/>
    <w:rsid w:val="002222D0"/>
    <w:rsid w:val="00222FA4"/>
    <w:rsid w:val="00224785"/>
    <w:rsid w:val="002251C1"/>
    <w:rsid w:val="00234452"/>
    <w:rsid w:val="0024301B"/>
    <w:rsid w:val="00243F85"/>
    <w:rsid w:val="00251A35"/>
    <w:rsid w:val="002577D6"/>
    <w:rsid w:val="00263202"/>
    <w:rsid w:val="002639F4"/>
    <w:rsid w:val="00267AC5"/>
    <w:rsid w:val="00271132"/>
    <w:rsid w:val="00275D23"/>
    <w:rsid w:val="002915D3"/>
    <w:rsid w:val="00291A48"/>
    <w:rsid w:val="00294035"/>
    <w:rsid w:val="0029526D"/>
    <w:rsid w:val="002962E0"/>
    <w:rsid w:val="002B2831"/>
    <w:rsid w:val="002B5CB0"/>
    <w:rsid w:val="002B5F3C"/>
    <w:rsid w:val="002B6149"/>
    <w:rsid w:val="002B785D"/>
    <w:rsid w:val="002C0B17"/>
    <w:rsid w:val="002C1C65"/>
    <w:rsid w:val="002C3D3A"/>
    <w:rsid w:val="002C49C4"/>
    <w:rsid w:val="002C665C"/>
    <w:rsid w:val="002C71AF"/>
    <w:rsid w:val="002D56A8"/>
    <w:rsid w:val="002D61AC"/>
    <w:rsid w:val="002E10DB"/>
    <w:rsid w:val="002E267A"/>
    <w:rsid w:val="002E78AF"/>
    <w:rsid w:val="002F37FE"/>
    <w:rsid w:val="002F44C6"/>
    <w:rsid w:val="002F46D9"/>
    <w:rsid w:val="00300F09"/>
    <w:rsid w:val="0030146F"/>
    <w:rsid w:val="0030336E"/>
    <w:rsid w:val="003073AD"/>
    <w:rsid w:val="003101F5"/>
    <w:rsid w:val="00311245"/>
    <w:rsid w:val="00312991"/>
    <w:rsid w:val="00314F7D"/>
    <w:rsid w:val="0031638D"/>
    <w:rsid w:val="003164B0"/>
    <w:rsid w:val="00317E64"/>
    <w:rsid w:val="003205E6"/>
    <w:rsid w:val="00321824"/>
    <w:rsid w:val="00323A52"/>
    <w:rsid w:val="003279F2"/>
    <w:rsid w:val="00330D92"/>
    <w:rsid w:val="00331A45"/>
    <w:rsid w:val="00333F93"/>
    <w:rsid w:val="0033671A"/>
    <w:rsid w:val="00336B70"/>
    <w:rsid w:val="00345A16"/>
    <w:rsid w:val="003510DF"/>
    <w:rsid w:val="00351887"/>
    <w:rsid w:val="00356D78"/>
    <w:rsid w:val="003615D3"/>
    <w:rsid w:val="003672CA"/>
    <w:rsid w:val="00370366"/>
    <w:rsid w:val="003707BC"/>
    <w:rsid w:val="003725B8"/>
    <w:rsid w:val="00380EF0"/>
    <w:rsid w:val="00381DD1"/>
    <w:rsid w:val="00381F83"/>
    <w:rsid w:val="00385B80"/>
    <w:rsid w:val="00386085"/>
    <w:rsid w:val="00390D7D"/>
    <w:rsid w:val="00391191"/>
    <w:rsid w:val="0039242B"/>
    <w:rsid w:val="003A1B85"/>
    <w:rsid w:val="003A2B84"/>
    <w:rsid w:val="003A3053"/>
    <w:rsid w:val="003A449D"/>
    <w:rsid w:val="003A5605"/>
    <w:rsid w:val="003A5B00"/>
    <w:rsid w:val="003B4E6D"/>
    <w:rsid w:val="003B56B7"/>
    <w:rsid w:val="003B5BAA"/>
    <w:rsid w:val="003B618D"/>
    <w:rsid w:val="003B666D"/>
    <w:rsid w:val="003C2950"/>
    <w:rsid w:val="003C55D8"/>
    <w:rsid w:val="003D05F7"/>
    <w:rsid w:val="003D0BCD"/>
    <w:rsid w:val="003E139B"/>
    <w:rsid w:val="003E20AB"/>
    <w:rsid w:val="003E5AE0"/>
    <w:rsid w:val="003F0073"/>
    <w:rsid w:val="003F72FD"/>
    <w:rsid w:val="003F7452"/>
    <w:rsid w:val="00400821"/>
    <w:rsid w:val="0040544C"/>
    <w:rsid w:val="0040566A"/>
    <w:rsid w:val="004062D2"/>
    <w:rsid w:val="004116A9"/>
    <w:rsid w:val="004259BF"/>
    <w:rsid w:val="0043151C"/>
    <w:rsid w:val="00431F68"/>
    <w:rsid w:val="00432C32"/>
    <w:rsid w:val="004351A6"/>
    <w:rsid w:val="004376E0"/>
    <w:rsid w:val="004451FD"/>
    <w:rsid w:val="00446B0E"/>
    <w:rsid w:val="00450A21"/>
    <w:rsid w:val="00452023"/>
    <w:rsid w:val="0045305B"/>
    <w:rsid w:val="00455390"/>
    <w:rsid w:val="00470205"/>
    <w:rsid w:val="00473DB5"/>
    <w:rsid w:val="004825A8"/>
    <w:rsid w:val="00483F35"/>
    <w:rsid w:val="00491196"/>
    <w:rsid w:val="004918E1"/>
    <w:rsid w:val="00492AB2"/>
    <w:rsid w:val="0049338D"/>
    <w:rsid w:val="00495C09"/>
    <w:rsid w:val="00496126"/>
    <w:rsid w:val="00496D41"/>
    <w:rsid w:val="004A2357"/>
    <w:rsid w:val="004A697C"/>
    <w:rsid w:val="004B050F"/>
    <w:rsid w:val="004B07D0"/>
    <w:rsid w:val="004B15E6"/>
    <w:rsid w:val="004B29CD"/>
    <w:rsid w:val="004B4B73"/>
    <w:rsid w:val="004B5409"/>
    <w:rsid w:val="004B561E"/>
    <w:rsid w:val="004C0C24"/>
    <w:rsid w:val="004C1521"/>
    <w:rsid w:val="004C6FBB"/>
    <w:rsid w:val="004D4296"/>
    <w:rsid w:val="004E3EF4"/>
    <w:rsid w:val="004E47BF"/>
    <w:rsid w:val="004F0853"/>
    <w:rsid w:val="004F1D47"/>
    <w:rsid w:val="004F26B7"/>
    <w:rsid w:val="004F5B56"/>
    <w:rsid w:val="004F783A"/>
    <w:rsid w:val="005064E1"/>
    <w:rsid w:val="0052062B"/>
    <w:rsid w:val="00521AAF"/>
    <w:rsid w:val="0052300F"/>
    <w:rsid w:val="00524595"/>
    <w:rsid w:val="005250F5"/>
    <w:rsid w:val="005263D9"/>
    <w:rsid w:val="005279B6"/>
    <w:rsid w:val="00535118"/>
    <w:rsid w:val="0054018C"/>
    <w:rsid w:val="0054190E"/>
    <w:rsid w:val="00541B59"/>
    <w:rsid w:val="00542C14"/>
    <w:rsid w:val="00542C76"/>
    <w:rsid w:val="00542F5F"/>
    <w:rsid w:val="00543C98"/>
    <w:rsid w:val="00560723"/>
    <w:rsid w:val="00563921"/>
    <w:rsid w:val="00564403"/>
    <w:rsid w:val="00564B91"/>
    <w:rsid w:val="00564C89"/>
    <w:rsid w:val="00567AF0"/>
    <w:rsid w:val="00570D43"/>
    <w:rsid w:val="0057174B"/>
    <w:rsid w:val="005724D1"/>
    <w:rsid w:val="005732E9"/>
    <w:rsid w:val="005742DB"/>
    <w:rsid w:val="005803C6"/>
    <w:rsid w:val="005874C0"/>
    <w:rsid w:val="0059033D"/>
    <w:rsid w:val="00594B0C"/>
    <w:rsid w:val="0059734C"/>
    <w:rsid w:val="00597934"/>
    <w:rsid w:val="005A4431"/>
    <w:rsid w:val="005A7742"/>
    <w:rsid w:val="005A7CEC"/>
    <w:rsid w:val="005B0AE2"/>
    <w:rsid w:val="005C1470"/>
    <w:rsid w:val="005C1FAE"/>
    <w:rsid w:val="005C2924"/>
    <w:rsid w:val="005C2B38"/>
    <w:rsid w:val="005D12A5"/>
    <w:rsid w:val="005D138E"/>
    <w:rsid w:val="005D7253"/>
    <w:rsid w:val="005E1833"/>
    <w:rsid w:val="005E2F07"/>
    <w:rsid w:val="005E327F"/>
    <w:rsid w:val="005E7367"/>
    <w:rsid w:val="005E7B76"/>
    <w:rsid w:val="005F1458"/>
    <w:rsid w:val="005F3874"/>
    <w:rsid w:val="005F4332"/>
    <w:rsid w:val="005F566E"/>
    <w:rsid w:val="006020EA"/>
    <w:rsid w:val="00605910"/>
    <w:rsid w:val="00607B5E"/>
    <w:rsid w:val="00610675"/>
    <w:rsid w:val="00612B49"/>
    <w:rsid w:val="00613FBF"/>
    <w:rsid w:val="00614989"/>
    <w:rsid w:val="006161C3"/>
    <w:rsid w:val="006213A4"/>
    <w:rsid w:val="0062538C"/>
    <w:rsid w:val="006273B9"/>
    <w:rsid w:val="00627478"/>
    <w:rsid w:val="006319B7"/>
    <w:rsid w:val="006343C8"/>
    <w:rsid w:val="00642571"/>
    <w:rsid w:val="00643449"/>
    <w:rsid w:val="00643962"/>
    <w:rsid w:val="00644ED4"/>
    <w:rsid w:val="0064747A"/>
    <w:rsid w:val="00655846"/>
    <w:rsid w:val="00660BA8"/>
    <w:rsid w:val="00661CFD"/>
    <w:rsid w:val="0066383C"/>
    <w:rsid w:val="006641FC"/>
    <w:rsid w:val="0066512D"/>
    <w:rsid w:val="00670A10"/>
    <w:rsid w:val="0067132F"/>
    <w:rsid w:val="00677D34"/>
    <w:rsid w:val="00684CAB"/>
    <w:rsid w:val="00685F1A"/>
    <w:rsid w:val="00687531"/>
    <w:rsid w:val="00691FBC"/>
    <w:rsid w:val="00697175"/>
    <w:rsid w:val="006A2685"/>
    <w:rsid w:val="006A2E3C"/>
    <w:rsid w:val="006A3576"/>
    <w:rsid w:val="006A42EF"/>
    <w:rsid w:val="006A5D94"/>
    <w:rsid w:val="006B3D05"/>
    <w:rsid w:val="006C13C2"/>
    <w:rsid w:val="006C3CC2"/>
    <w:rsid w:val="006C621D"/>
    <w:rsid w:val="006D09BD"/>
    <w:rsid w:val="006D11EF"/>
    <w:rsid w:val="006D2807"/>
    <w:rsid w:val="006E348D"/>
    <w:rsid w:val="006E548D"/>
    <w:rsid w:val="006F41FE"/>
    <w:rsid w:val="00706651"/>
    <w:rsid w:val="00711CCD"/>
    <w:rsid w:val="00712AE3"/>
    <w:rsid w:val="00712B92"/>
    <w:rsid w:val="00716F48"/>
    <w:rsid w:val="007211B3"/>
    <w:rsid w:val="00721832"/>
    <w:rsid w:val="00721CD6"/>
    <w:rsid w:val="00723CED"/>
    <w:rsid w:val="00724F33"/>
    <w:rsid w:val="007335A4"/>
    <w:rsid w:val="0073424A"/>
    <w:rsid w:val="00734E96"/>
    <w:rsid w:val="007359FB"/>
    <w:rsid w:val="007375F6"/>
    <w:rsid w:val="00740F47"/>
    <w:rsid w:val="00743DBD"/>
    <w:rsid w:val="00752858"/>
    <w:rsid w:val="00752B13"/>
    <w:rsid w:val="00757EA5"/>
    <w:rsid w:val="00760EF3"/>
    <w:rsid w:val="0076515F"/>
    <w:rsid w:val="00766F2E"/>
    <w:rsid w:val="00767875"/>
    <w:rsid w:val="00774312"/>
    <w:rsid w:val="0077669D"/>
    <w:rsid w:val="007770E7"/>
    <w:rsid w:val="00782F5E"/>
    <w:rsid w:val="00785CE0"/>
    <w:rsid w:val="007910DA"/>
    <w:rsid w:val="00791DB9"/>
    <w:rsid w:val="0079388E"/>
    <w:rsid w:val="007A060F"/>
    <w:rsid w:val="007A2E29"/>
    <w:rsid w:val="007B5E93"/>
    <w:rsid w:val="007B7D5B"/>
    <w:rsid w:val="007C2157"/>
    <w:rsid w:val="007C21F6"/>
    <w:rsid w:val="007C70E9"/>
    <w:rsid w:val="007D130A"/>
    <w:rsid w:val="008067CE"/>
    <w:rsid w:val="00807813"/>
    <w:rsid w:val="0081088D"/>
    <w:rsid w:val="008126A9"/>
    <w:rsid w:val="00825339"/>
    <w:rsid w:val="008278B7"/>
    <w:rsid w:val="00830857"/>
    <w:rsid w:val="00831928"/>
    <w:rsid w:val="0083213F"/>
    <w:rsid w:val="0083599E"/>
    <w:rsid w:val="008363A0"/>
    <w:rsid w:val="00840F3A"/>
    <w:rsid w:val="008438C2"/>
    <w:rsid w:val="008475FA"/>
    <w:rsid w:val="00857A24"/>
    <w:rsid w:val="008612B3"/>
    <w:rsid w:val="008616F2"/>
    <w:rsid w:val="00861D5C"/>
    <w:rsid w:val="00863B8E"/>
    <w:rsid w:val="00867037"/>
    <w:rsid w:val="00873348"/>
    <w:rsid w:val="00885E6D"/>
    <w:rsid w:val="00896E4A"/>
    <w:rsid w:val="00897BF8"/>
    <w:rsid w:val="008A1A00"/>
    <w:rsid w:val="008A1EAD"/>
    <w:rsid w:val="008A79D6"/>
    <w:rsid w:val="008B449B"/>
    <w:rsid w:val="008B5335"/>
    <w:rsid w:val="008C2F73"/>
    <w:rsid w:val="008C39FE"/>
    <w:rsid w:val="008C6EDB"/>
    <w:rsid w:val="008D550F"/>
    <w:rsid w:val="008E03B1"/>
    <w:rsid w:val="008E24EA"/>
    <w:rsid w:val="008E347C"/>
    <w:rsid w:val="008E361F"/>
    <w:rsid w:val="008F14D1"/>
    <w:rsid w:val="008F1604"/>
    <w:rsid w:val="008F3A33"/>
    <w:rsid w:val="008F7577"/>
    <w:rsid w:val="00901046"/>
    <w:rsid w:val="00910DB0"/>
    <w:rsid w:val="00912611"/>
    <w:rsid w:val="00914822"/>
    <w:rsid w:val="00915371"/>
    <w:rsid w:val="0092013B"/>
    <w:rsid w:val="0092488E"/>
    <w:rsid w:val="00944128"/>
    <w:rsid w:val="009476A2"/>
    <w:rsid w:val="00954581"/>
    <w:rsid w:val="00955163"/>
    <w:rsid w:val="00960EFF"/>
    <w:rsid w:val="0096246E"/>
    <w:rsid w:val="00966C9E"/>
    <w:rsid w:val="00966DF5"/>
    <w:rsid w:val="00967F0E"/>
    <w:rsid w:val="009838E4"/>
    <w:rsid w:val="00986256"/>
    <w:rsid w:val="009868E6"/>
    <w:rsid w:val="009903F0"/>
    <w:rsid w:val="009916CE"/>
    <w:rsid w:val="00991D80"/>
    <w:rsid w:val="00992F4A"/>
    <w:rsid w:val="00993F11"/>
    <w:rsid w:val="009940A2"/>
    <w:rsid w:val="009949A8"/>
    <w:rsid w:val="009951D2"/>
    <w:rsid w:val="009A77AA"/>
    <w:rsid w:val="009B02F3"/>
    <w:rsid w:val="009B0F63"/>
    <w:rsid w:val="009B2926"/>
    <w:rsid w:val="009B3C35"/>
    <w:rsid w:val="009B619B"/>
    <w:rsid w:val="009B7696"/>
    <w:rsid w:val="009C0101"/>
    <w:rsid w:val="009C12C1"/>
    <w:rsid w:val="009C5EDD"/>
    <w:rsid w:val="009D1345"/>
    <w:rsid w:val="009D1386"/>
    <w:rsid w:val="009D140F"/>
    <w:rsid w:val="009D33B3"/>
    <w:rsid w:val="009E0D20"/>
    <w:rsid w:val="009E5C57"/>
    <w:rsid w:val="009F0ABF"/>
    <w:rsid w:val="009F301F"/>
    <w:rsid w:val="009F6306"/>
    <w:rsid w:val="009F7C84"/>
    <w:rsid w:val="00A04C23"/>
    <w:rsid w:val="00A07782"/>
    <w:rsid w:val="00A13E89"/>
    <w:rsid w:val="00A1773A"/>
    <w:rsid w:val="00A227A0"/>
    <w:rsid w:val="00A26939"/>
    <w:rsid w:val="00A26CAA"/>
    <w:rsid w:val="00A3014C"/>
    <w:rsid w:val="00A326DE"/>
    <w:rsid w:val="00A330B3"/>
    <w:rsid w:val="00A376AA"/>
    <w:rsid w:val="00A3787E"/>
    <w:rsid w:val="00A41DCA"/>
    <w:rsid w:val="00A4469E"/>
    <w:rsid w:val="00A45D44"/>
    <w:rsid w:val="00A47977"/>
    <w:rsid w:val="00A50EEF"/>
    <w:rsid w:val="00A5163C"/>
    <w:rsid w:val="00A5431B"/>
    <w:rsid w:val="00A56EBC"/>
    <w:rsid w:val="00A57A07"/>
    <w:rsid w:val="00A6574F"/>
    <w:rsid w:val="00A65E71"/>
    <w:rsid w:val="00A662A0"/>
    <w:rsid w:val="00A670EE"/>
    <w:rsid w:val="00A71827"/>
    <w:rsid w:val="00A72030"/>
    <w:rsid w:val="00A75C94"/>
    <w:rsid w:val="00A772BD"/>
    <w:rsid w:val="00A776C7"/>
    <w:rsid w:val="00A80535"/>
    <w:rsid w:val="00A80905"/>
    <w:rsid w:val="00A84B9A"/>
    <w:rsid w:val="00A94C94"/>
    <w:rsid w:val="00A96699"/>
    <w:rsid w:val="00AA34A0"/>
    <w:rsid w:val="00AA4206"/>
    <w:rsid w:val="00AA64ED"/>
    <w:rsid w:val="00AB0123"/>
    <w:rsid w:val="00AB1277"/>
    <w:rsid w:val="00AB171F"/>
    <w:rsid w:val="00AB3854"/>
    <w:rsid w:val="00AB50BD"/>
    <w:rsid w:val="00AB72F4"/>
    <w:rsid w:val="00AC3E56"/>
    <w:rsid w:val="00AD025F"/>
    <w:rsid w:val="00AD062E"/>
    <w:rsid w:val="00AD0C53"/>
    <w:rsid w:val="00AD6064"/>
    <w:rsid w:val="00AD61C9"/>
    <w:rsid w:val="00AE14E5"/>
    <w:rsid w:val="00AE327A"/>
    <w:rsid w:val="00AF2980"/>
    <w:rsid w:val="00AF3655"/>
    <w:rsid w:val="00AF3BDC"/>
    <w:rsid w:val="00B063A8"/>
    <w:rsid w:val="00B065FE"/>
    <w:rsid w:val="00B109C9"/>
    <w:rsid w:val="00B16D84"/>
    <w:rsid w:val="00B25772"/>
    <w:rsid w:val="00B2704D"/>
    <w:rsid w:val="00B27FBD"/>
    <w:rsid w:val="00B30760"/>
    <w:rsid w:val="00B326C7"/>
    <w:rsid w:val="00B33BD7"/>
    <w:rsid w:val="00B4058C"/>
    <w:rsid w:val="00B42F61"/>
    <w:rsid w:val="00B45A09"/>
    <w:rsid w:val="00B466D4"/>
    <w:rsid w:val="00B532FE"/>
    <w:rsid w:val="00B579B9"/>
    <w:rsid w:val="00B60A64"/>
    <w:rsid w:val="00B610A5"/>
    <w:rsid w:val="00B64D79"/>
    <w:rsid w:val="00B669C2"/>
    <w:rsid w:val="00B73226"/>
    <w:rsid w:val="00B74D56"/>
    <w:rsid w:val="00B76B05"/>
    <w:rsid w:val="00B8262B"/>
    <w:rsid w:val="00B84297"/>
    <w:rsid w:val="00B85C0E"/>
    <w:rsid w:val="00B861C7"/>
    <w:rsid w:val="00B86364"/>
    <w:rsid w:val="00B915D3"/>
    <w:rsid w:val="00B91771"/>
    <w:rsid w:val="00B9476C"/>
    <w:rsid w:val="00B967B0"/>
    <w:rsid w:val="00B97D12"/>
    <w:rsid w:val="00BA23ED"/>
    <w:rsid w:val="00BA4313"/>
    <w:rsid w:val="00BA60A7"/>
    <w:rsid w:val="00BA6CD0"/>
    <w:rsid w:val="00BA7051"/>
    <w:rsid w:val="00BB6227"/>
    <w:rsid w:val="00BC0F4C"/>
    <w:rsid w:val="00BC2DB2"/>
    <w:rsid w:val="00BC3693"/>
    <w:rsid w:val="00BC3AF1"/>
    <w:rsid w:val="00BC5FBD"/>
    <w:rsid w:val="00BD00DD"/>
    <w:rsid w:val="00BD3447"/>
    <w:rsid w:val="00BD4055"/>
    <w:rsid w:val="00BD7D18"/>
    <w:rsid w:val="00BE2DAB"/>
    <w:rsid w:val="00BF7CC5"/>
    <w:rsid w:val="00C04EB6"/>
    <w:rsid w:val="00C11BB7"/>
    <w:rsid w:val="00C12E52"/>
    <w:rsid w:val="00C136A7"/>
    <w:rsid w:val="00C20EDB"/>
    <w:rsid w:val="00C22ABF"/>
    <w:rsid w:val="00C23C83"/>
    <w:rsid w:val="00C263D9"/>
    <w:rsid w:val="00C27780"/>
    <w:rsid w:val="00C32377"/>
    <w:rsid w:val="00C32760"/>
    <w:rsid w:val="00C35862"/>
    <w:rsid w:val="00C4431B"/>
    <w:rsid w:val="00C44CDF"/>
    <w:rsid w:val="00C45A5D"/>
    <w:rsid w:val="00C473A5"/>
    <w:rsid w:val="00C47A92"/>
    <w:rsid w:val="00C50A71"/>
    <w:rsid w:val="00C53C59"/>
    <w:rsid w:val="00C565C4"/>
    <w:rsid w:val="00C5792B"/>
    <w:rsid w:val="00C57B1D"/>
    <w:rsid w:val="00C62544"/>
    <w:rsid w:val="00C74B57"/>
    <w:rsid w:val="00C77564"/>
    <w:rsid w:val="00C811C2"/>
    <w:rsid w:val="00C84B6C"/>
    <w:rsid w:val="00C85DED"/>
    <w:rsid w:val="00CA08F4"/>
    <w:rsid w:val="00CA11E5"/>
    <w:rsid w:val="00CA2B29"/>
    <w:rsid w:val="00CA41D1"/>
    <w:rsid w:val="00CA7127"/>
    <w:rsid w:val="00CB255E"/>
    <w:rsid w:val="00CB26DC"/>
    <w:rsid w:val="00CB29FF"/>
    <w:rsid w:val="00CD372F"/>
    <w:rsid w:val="00CF01E1"/>
    <w:rsid w:val="00CF2905"/>
    <w:rsid w:val="00D00080"/>
    <w:rsid w:val="00D014EB"/>
    <w:rsid w:val="00D02C57"/>
    <w:rsid w:val="00D039CB"/>
    <w:rsid w:val="00D10D47"/>
    <w:rsid w:val="00D13CF4"/>
    <w:rsid w:val="00D213F5"/>
    <w:rsid w:val="00D26EBA"/>
    <w:rsid w:val="00D27A08"/>
    <w:rsid w:val="00D30259"/>
    <w:rsid w:val="00D31549"/>
    <w:rsid w:val="00D32E61"/>
    <w:rsid w:val="00D40DE5"/>
    <w:rsid w:val="00D414C8"/>
    <w:rsid w:val="00D428CC"/>
    <w:rsid w:val="00D43FC7"/>
    <w:rsid w:val="00D45A9D"/>
    <w:rsid w:val="00D47AD9"/>
    <w:rsid w:val="00D50FCD"/>
    <w:rsid w:val="00D55D81"/>
    <w:rsid w:val="00D61F41"/>
    <w:rsid w:val="00D721AE"/>
    <w:rsid w:val="00D72249"/>
    <w:rsid w:val="00D73756"/>
    <w:rsid w:val="00D7586E"/>
    <w:rsid w:val="00D76458"/>
    <w:rsid w:val="00D774AB"/>
    <w:rsid w:val="00D82E72"/>
    <w:rsid w:val="00D835E0"/>
    <w:rsid w:val="00D83E68"/>
    <w:rsid w:val="00D863C9"/>
    <w:rsid w:val="00D86BAD"/>
    <w:rsid w:val="00D90756"/>
    <w:rsid w:val="00D90BB9"/>
    <w:rsid w:val="00D9152E"/>
    <w:rsid w:val="00D977D6"/>
    <w:rsid w:val="00DA1250"/>
    <w:rsid w:val="00DA5D9C"/>
    <w:rsid w:val="00DB1F2C"/>
    <w:rsid w:val="00DB4BB7"/>
    <w:rsid w:val="00DB69BD"/>
    <w:rsid w:val="00DC14DA"/>
    <w:rsid w:val="00DC250F"/>
    <w:rsid w:val="00DC72DE"/>
    <w:rsid w:val="00DD056F"/>
    <w:rsid w:val="00DD6F21"/>
    <w:rsid w:val="00DD73F5"/>
    <w:rsid w:val="00DE27A4"/>
    <w:rsid w:val="00DF667D"/>
    <w:rsid w:val="00E00D6F"/>
    <w:rsid w:val="00E05711"/>
    <w:rsid w:val="00E10B12"/>
    <w:rsid w:val="00E144AD"/>
    <w:rsid w:val="00E23B9B"/>
    <w:rsid w:val="00E23D3A"/>
    <w:rsid w:val="00E243DD"/>
    <w:rsid w:val="00E2475E"/>
    <w:rsid w:val="00E27F78"/>
    <w:rsid w:val="00E3040F"/>
    <w:rsid w:val="00E33DED"/>
    <w:rsid w:val="00E42BA0"/>
    <w:rsid w:val="00E47BAF"/>
    <w:rsid w:val="00E51F38"/>
    <w:rsid w:val="00E529ED"/>
    <w:rsid w:val="00E54F9E"/>
    <w:rsid w:val="00E57529"/>
    <w:rsid w:val="00E6267D"/>
    <w:rsid w:val="00E6403E"/>
    <w:rsid w:val="00E673F0"/>
    <w:rsid w:val="00E67C80"/>
    <w:rsid w:val="00E72898"/>
    <w:rsid w:val="00E72A1C"/>
    <w:rsid w:val="00E73BD1"/>
    <w:rsid w:val="00E760D4"/>
    <w:rsid w:val="00E76E33"/>
    <w:rsid w:val="00E772C6"/>
    <w:rsid w:val="00E805F3"/>
    <w:rsid w:val="00E82E18"/>
    <w:rsid w:val="00E938B3"/>
    <w:rsid w:val="00EA0E4F"/>
    <w:rsid w:val="00EA3D13"/>
    <w:rsid w:val="00EA4653"/>
    <w:rsid w:val="00EA5829"/>
    <w:rsid w:val="00EB0123"/>
    <w:rsid w:val="00EB0BB2"/>
    <w:rsid w:val="00EB7AF0"/>
    <w:rsid w:val="00EC08E3"/>
    <w:rsid w:val="00EC598D"/>
    <w:rsid w:val="00EC64D1"/>
    <w:rsid w:val="00ED315A"/>
    <w:rsid w:val="00EF22B5"/>
    <w:rsid w:val="00EF2B17"/>
    <w:rsid w:val="00EF5135"/>
    <w:rsid w:val="00F05FFE"/>
    <w:rsid w:val="00F07685"/>
    <w:rsid w:val="00F114D6"/>
    <w:rsid w:val="00F247BC"/>
    <w:rsid w:val="00F25EAB"/>
    <w:rsid w:val="00F31FE6"/>
    <w:rsid w:val="00F32130"/>
    <w:rsid w:val="00F345F6"/>
    <w:rsid w:val="00F4172C"/>
    <w:rsid w:val="00F46C01"/>
    <w:rsid w:val="00F46E88"/>
    <w:rsid w:val="00F51BE9"/>
    <w:rsid w:val="00F646CC"/>
    <w:rsid w:val="00F654D0"/>
    <w:rsid w:val="00F65EF3"/>
    <w:rsid w:val="00F66ADE"/>
    <w:rsid w:val="00F67E9B"/>
    <w:rsid w:val="00F7517F"/>
    <w:rsid w:val="00F8096C"/>
    <w:rsid w:val="00F81B83"/>
    <w:rsid w:val="00F85BD7"/>
    <w:rsid w:val="00F85F1B"/>
    <w:rsid w:val="00F8646A"/>
    <w:rsid w:val="00F9585C"/>
    <w:rsid w:val="00FA3CED"/>
    <w:rsid w:val="00FA74B7"/>
    <w:rsid w:val="00FB14F7"/>
    <w:rsid w:val="00FB233A"/>
    <w:rsid w:val="00FB33CF"/>
    <w:rsid w:val="00FB4238"/>
    <w:rsid w:val="00FC0333"/>
    <w:rsid w:val="00FC16E0"/>
    <w:rsid w:val="00FC188A"/>
    <w:rsid w:val="00FC3D18"/>
    <w:rsid w:val="00FC4AAA"/>
    <w:rsid w:val="00FC4E58"/>
    <w:rsid w:val="00FC55A4"/>
    <w:rsid w:val="00FC5619"/>
    <w:rsid w:val="00FC6CA4"/>
    <w:rsid w:val="00FD0044"/>
    <w:rsid w:val="00FD00ED"/>
    <w:rsid w:val="00FD564D"/>
    <w:rsid w:val="00FD66CF"/>
    <w:rsid w:val="00FE4735"/>
    <w:rsid w:val="00FE5A1F"/>
    <w:rsid w:val="00FF1AA5"/>
    <w:rsid w:val="00FF2548"/>
    <w:rsid w:val="00FF2A91"/>
    <w:rsid w:val="00FF3565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1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1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es.ed.gov/ipeds/datacenter/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hronicle.com/article/To-Improve-Equity-Focus-on/144759/" TargetMode="External"/><Relationship Id="rId5" Type="http://schemas.openxmlformats.org/officeDocument/2006/relationships/hyperlink" Target="https://chronicle.com/article/Grad-School-Debt-Is-Said-to/14553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% of Graduate</a:t>
            </a:r>
            <a:r>
              <a:rPr lang="en-US" baseline="0"/>
              <a:t> Students Receiving Assistantships</a:t>
            </a:r>
          </a:p>
          <a:p>
            <a:pPr>
              <a:defRPr/>
            </a:pPr>
            <a:r>
              <a:rPr lang="en-US" baseline="0"/>
              <a:t>Academic Year 2012-2013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'Graduate Student IPEDS Info'!$B$2:$B$17</c:f>
              <c:strCache>
                <c:ptCount val="16"/>
                <c:pt idx="0">
                  <c:v>University of San Francisco</c:v>
                </c:pt>
                <c:pt idx="1">
                  <c:v>University of San Diego</c:v>
                </c:pt>
                <c:pt idx="2">
                  <c:v>Fairfield University</c:v>
                </c:pt>
                <c:pt idx="3">
                  <c:v>Seton Hall University</c:v>
                </c:pt>
                <c:pt idx="4">
                  <c:v>Fordham University</c:v>
                </c:pt>
                <c:pt idx="5">
                  <c:v>University of Scranton</c:v>
                </c:pt>
                <c:pt idx="6">
                  <c:v>Saint Louis University-Main Campus</c:v>
                </c:pt>
                <c:pt idx="7">
                  <c:v>Loyola University Chicago</c:v>
                </c:pt>
                <c:pt idx="8">
                  <c:v>St. John's University-New York</c:v>
                </c:pt>
                <c:pt idx="9">
                  <c:v>Villanova University</c:v>
                </c:pt>
                <c:pt idx="10">
                  <c:v>Catholic University of America</c:v>
                </c:pt>
                <c:pt idx="11">
                  <c:v>Duquesne University</c:v>
                </c:pt>
                <c:pt idx="12">
                  <c:v>Providence College</c:v>
                </c:pt>
                <c:pt idx="13">
                  <c:v>Marquette University</c:v>
                </c:pt>
                <c:pt idx="14">
                  <c:v>Rutgers University-New Brunswick</c:v>
                </c:pt>
                <c:pt idx="15">
                  <c:v>Syracuse University</c:v>
                </c:pt>
              </c:strCache>
            </c:strRef>
          </c:cat>
          <c:val>
            <c:numRef>
              <c:f>'Graduate Student IPEDS Info'!$C$2:$C$17</c:f>
            </c:numRef>
          </c:val>
        </c:ser>
        <c:ser>
          <c:idx val="1"/>
          <c:order val="1"/>
          <c:invertIfNegative val="0"/>
          <c:cat>
            <c:strRef>
              <c:f>'Graduate Student IPEDS Info'!$B$2:$B$17</c:f>
              <c:strCache>
                <c:ptCount val="16"/>
                <c:pt idx="0">
                  <c:v>University of San Francisco</c:v>
                </c:pt>
                <c:pt idx="1">
                  <c:v>University of San Diego</c:v>
                </c:pt>
                <c:pt idx="2">
                  <c:v>Fairfield University</c:v>
                </c:pt>
                <c:pt idx="3">
                  <c:v>Seton Hall University</c:v>
                </c:pt>
                <c:pt idx="4">
                  <c:v>Fordham University</c:v>
                </c:pt>
                <c:pt idx="5">
                  <c:v>University of Scranton</c:v>
                </c:pt>
                <c:pt idx="6">
                  <c:v>Saint Louis University-Main Campus</c:v>
                </c:pt>
                <c:pt idx="7">
                  <c:v>Loyola University Chicago</c:v>
                </c:pt>
                <c:pt idx="8">
                  <c:v>St. John's University-New York</c:v>
                </c:pt>
                <c:pt idx="9">
                  <c:v>Villanova University</c:v>
                </c:pt>
                <c:pt idx="10">
                  <c:v>Catholic University of America</c:v>
                </c:pt>
                <c:pt idx="11">
                  <c:v>Duquesne University</c:v>
                </c:pt>
                <c:pt idx="12">
                  <c:v>Providence College</c:v>
                </c:pt>
                <c:pt idx="13">
                  <c:v>Marquette University</c:v>
                </c:pt>
                <c:pt idx="14">
                  <c:v>Rutgers University-New Brunswick</c:v>
                </c:pt>
                <c:pt idx="15">
                  <c:v>Syracuse University</c:v>
                </c:pt>
              </c:strCache>
            </c:strRef>
          </c:cat>
          <c:val>
            <c:numRef>
              <c:f>'Graduate Student IPEDS Info'!$D$2:$D$17</c:f>
            </c:numRef>
          </c:val>
        </c:ser>
        <c:ser>
          <c:idx val="2"/>
          <c:order val="2"/>
          <c:invertIfNegative val="0"/>
          <c:cat>
            <c:strRef>
              <c:f>'Graduate Student IPEDS Info'!$B$2:$B$17</c:f>
              <c:strCache>
                <c:ptCount val="16"/>
                <c:pt idx="0">
                  <c:v>University of San Francisco</c:v>
                </c:pt>
                <c:pt idx="1">
                  <c:v>University of San Diego</c:v>
                </c:pt>
                <c:pt idx="2">
                  <c:v>Fairfield University</c:v>
                </c:pt>
                <c:pt idx="3">
                  <c:v>Seton Hall University</c:v>
                </c:pt>
                <c:pt idx="4">
                  <c:v>Fordham University</c:v>
                </c:pt>
                <c:pt idx="5">
                  <c:v>University of Scranton</c:v>
                </c:pt>
                <c:pt idx="6">
                  <c:v>Saint Louis University-Main Campus</c:v>
                </c:pt>
                <c:pt idx="7">
                  <c:v>Loyola University Chicago</c:v>
                </c:pt>
                <c:pt idx="8">
                  <c:v>St. John's University-New York</c:v>
                </c:pt>
                <c:pt idx="9">
                  <c:v>Villanova University</c:v>
                </c:pt>
                <c:pt idx="10">
                  <c:v>Catholic University of America</c:v>
                </c:pt>
                <c:pt idx="11">
                  <c:v>Duquesne University</c:v>
                </c:pt>
                <c:pt idx="12">
                  <c:v>Providence College</c:v>
                </c:pt>
                <c:pt idx="13">
                  <c:v>Marquette University</c:v>
                </c:pt>
                <c:pt idx="14">
                  <c:v>Rutgers University-New Brunswick</c:v>
                </c:pt>
                <c:pt idx="15">
                  <c:v>Syracuse University</c:v>
                </c:pt>
              </c:strCache>
            </c:strRef>
          </c:cat>
          <c:val>
            <c:numRef>
              <c:f>'Graduate Student IPEDS Info'!$E$2:$E$17</c:f>
            </c:numRef>
          </c:val>
        </c:ser>
        <c:ser>
          <c:idx val="3"/>
          <c:order val="3"/>
          <c:invertIfNegative val="0"/>
          <c:cat>
            <c:strRef>
              <c:f>'Graduate Student IPEDS Info'!$B$2:$B$17</c:f>
              <c:strCache>
                <c:ptCount val="16"/>
                <c:pt idx="0">
                  <c:v>University of San Francisco</c:v>
                </c:pt>
                <c:pt idx="1">
                  <c:v>University of San Diego</c:v>
                </c:pt>
                <c:pt idx="2">
                  <c:v>Fairfield University</c:v>
                </c:pt>
                <c:pt idx="3">
                  <c:v>Seton Hall University</c:v>
                </c:pt>
                <c:pt idx="4">
                  <c:v>Fordham University</c:v>
                </c:pt>
                <c:pt idx="5">
                  <c:v>University of Scranton</c:v>
                </c:pt>
                <c:pt idx="6">
                  <c:v>Saint Louis University-Main Campus</c:v>
                </c:pt>
                <c:pt idx="7">
                  <c:v>Loyola University Chicago</c:v>
                </c:pt>
                <c:pt idx="8">
                  <c:v>St. John's University-New York</c:v>
                </c:pt>
                <c:pt idx="9">
                  <c:v>Villanova University</c:v>
                </c:pt>
                <c:pt idx="10">
                  <c:v>Catholic University of America</c:v>
                </c:pt>
                <c:pt idx="11">
                  <c:v>Duquesne University</c:v>
                </c:pt>
                <c:pt idx="12">
                  <c:v>Providence College</c:v>
                </c:pt>
                <c:pt idx="13">
                  <c:v>Marquette University</c:v>
                </c:pt>
                <c:pt idx="14">
                  <c:v>Rutgers University-New Brunswick</c:v>
                </c:pt>
                <c:pt idx="15">
                  <c:v>Syracuse University</c:v>
                </c:pt>
              </c:strCache>
            </c:strRef>
          </c:cat>
          <c:val>
            <c:numRef>
              <c:f>'Graduate Student IPEDS Info'!$F$2:$F$17</c:f>
            </c:numRef>
          </c:val>
        </c:ser>
        <c:ser>
          <c:idx val="4"/>
          <c:order val="4"/>
          <c:invertIfNegative val="0"/>
          <c:cat>
            <c:strRef>
              <c:f>'Graduate Student IPEDS Info'!$B$2:$B$17</c:f>
              <c:strCache>
                <c:ptCount val="16"/>
                <c:pt idx="0">
                  <c:v>University of San Francisco</c:v>
                </c:pt>
                <c:pt idx="1">
                  <c:v>University of San Diego</c:v>
                </c:pt>
                <c:pt idx="2">
                  <c:v>Fairfield University</c:v>
                </c:pt>
                <c:pt idx="3">
                  <c:v>Seton Hall University</c:v>
                </c:pt>
                <c:pt idx="4">
                  <c:v>Fordham University</c:v>
                </c:pt>
                <c:pt idx="5">
                  <c:v>University of Scranton</c:v>
                </c:pt>
                <c:pt idx="6">
                  <c:v>Saint Louis University-Main Campus</c:v>
                </c:pt>
                <c:pt idx="7">
                  <c:v>Loyola University Chicago</c:v>
                </c:pt>
                <c:pt idx="8">
                  <c:v>St. John's University-New York</c:v>
                </c:pt>
                <c:pt idx="9">
                  <c:v>Villanova University</c:v>
                </c:pt>
                <c:pt idx="10">
                  <c:v>Catholic University of America</c:v>
                </c:pt>
                <c:pt idx="11">
                  <c:v>Duquesne University</c:v>
                </c:pt>
                <c:pt idx="12">
                  <c:v>Providence College</c:v>
                </c:pt>
                <c:pt idx="13">
                  <c:v>Marquette University</c:v>
                </c:pt>
                <c:pt idx="14">
                  <c:v>Rutgers University-New Brunswick</c:v>
                </c:pt>
                <c:pt idx="15">
                  <c:v>Syracuse University</c:v>
                </c:pt>
              </c:strCache>
            </c:strRef>
          </c:cat>
          <c:val>
            <c:numRef>
              <c:f>'Graduate Student IPEDS Info'!$G$2:$G$17</c:f>
            </c:numRef>
          </c:val>
        </c:ser>
        <c:ser>
          <c:idx val="5"/>
          <c:order val="5"/>
          <c:invertIfNegative val="0"/>
          <c:cat>
            <c:strRef>
              <c:f>'Graduate Student IPEDS Info'!$B$2:$B$17</c:f>
              <c:strCache>
                <c:ptCount val="16"/>
                <c:pt idx="0">
                  <c:v>University of San Francisco</c:v>
                </c:pt>
                <c:pt idx="1">
                  <c:v>University of San Diego</c:v>
                </c:pt>
                <c:pt idx="2">
                  <c:v>Fairfield University</c:v>
                </c:pt>
                <c:pt idx="3">
                  <c:v>Seton Hall University</c:v>
                </c:pt>
                <c:pt idx="4">
                  <c:v>Fordham University</c:v>
                </c:pt>
                <c:pt idx="5">
                  <c:v>University of Scranton</c:v>
                </c:pt>
                <c:pt idx="6">
                  <c:v>Saint Louis University-Main Campus</c:v>
                </c:pt>
                <c:pt idx="7">
                  <c:v>Loyola University Chicago</c:v>
                </c:pt>
                <c:pt idx="8">
                  <c:v>St. John's University-New York</c:v>
                </c:pt>
                <c:pt idx="9">
                  <c:v>Villanova University</c:v>
                </c:pt>
                <c:pt idx="10">
                  <c:v>Catholic University of America</c:v>
                </c:pt>
                <c:pt idx="11">
                  <c:v>Duquesne University</c:v>
                </c:pt>
                <c:pt idx="12">
                  <c:v>Providence College</c:v>
                </c:pt>
                <c:pt idx="13">
                  <c:v>Marquette University</c:v>
                </c:pt>
                <c:pt idx="14">
                  <c:v>Rutgers University-New Brunswick</c:v>
                </c:pt>
                <c:pt idx="15">
                  <c:v>Syracuse University</c:v>
                </c:pt>
              </c:strCache>
            </c:strRef>
          </c:cat>
          <c:val>
            <c:numRef>
              <c:f>'Graduate Student IPEDS Info'!$H$2:$H$17</c:f>
            </c:numRef>
          </c:val>
        </c:ser>
        <c:ser>
          <c:idx val="6"/>
          <c:order val="6"/>
          <c:invertIfNegative val="0"/>
          <c:cat>
            <c:strRef>
              <c:f>'Graduate Student IPEDS Info'!$B$2:$B$17</c:f>
              <c:strCache>
                <c:ptCount val="16"/>
                <c:pt idx="0">
                  <c:v>University of San Francisco</c:v>
                </c:pt>
                <c:pt idx="1">
                  <c:v>University of San Diego</c:v>
                </c:pt>
                <c:pt idx="2">
                  <c:v>Fairfield University</c:v>
                </c:pt>
                <c:pt idx="3">
                  <c:v>Seton Hall University</c:v>
                </c:pt>
                <c:pt idx="4">
                  <c:v>Fordham University</c:v>
                </c:pt>
                <c:pt idx="5">
                  <c:v>University of Scranton</c:v>
                </c:pt>
                <c:pt idx="6">
                  <c:v>Saint Louis University-Main Campus</c:v>
                </c:pt>
                <c:pt idx="7">
                  <c:v>Loyola University Chicago</c:v>
                </c:pt>
                <c:pt idx="8">
                  <c:v>St. John's University-New York</c:v>
                </c:pt>
                <c:pt idx="9">
                  <c:v>Villanova University</c:v>
                </c:pt>
                <c:pt idx="10">
                  <c:v>Catholic University of America</c:v>
                </c:pt>
                <c:pt idx="11">
                  <c:v>Duquesne University</c:v>
                </c:pt>
                <c:pt idx="12">
                  <c:v>Providence College</c:v>
                </c:pt>
                <c:pt idx="13">
                  <c:v>Marquette University</c:v>
                </c:pt>
                <c:pt idx="14">
                  <c:v>Rutgers University-New Brunswick</c:v>
                </c:pt>
                <c:pt idx="15">
                  <c:v>Syracuse University</c:v>
                </c:pt>
              </c:strCache>
            </c:strRef>
          </c:cat>
          <c:val>
            <c:numRef>
              <c:f>'Graduate Student IPEDS Info'!$I$2:$I$17</c:f>
            </c:numRef>
          </c:val>
        </c:ser>
        <c:ser>
          <c:idx val="7"/>
          <c:order val="7"/>
          <c:invertIfNegative val="0"/>
          <c:cat>
            <c:strRef>
              <c:f>'Graduate Student IPEDS Info'!$B$2:$B$17</c:f>
              <c:strCache>
                <c:ptCount val="16"/>
                <c:pt idx="0">
                  <c:v>University of San Francisco</c:v>
                </c:pt>
                <c:pt idx="1">
                  <c:v>University of San Diego</c:v>
                </c:pt>
                <c:pt idx="2">
                  <c:v>Fairfield University</c:v>
                </c:pt>
                <c:pt idx="3">
                  <c:v>Seton Hall University</c:v>
                </c:pt>
                <c:pt idx="4">
                  <c:v>Fordham University</c:v>
                </c:pt>
                <c:pt idx="5">
                  <c:v>University of Scranton</c:v>
                </c:pt>
                <c:pt idx="6">
                  <c:v>Saint Louis University-Main Campus</c:v>
                </c:pt>
                <c:pt idx="7">
                  <c:v>Loyola University Chicago</c:v>
                </c:pt>
                <c:pt idx="8">
                  <c:v>St. John's University-New York</c:v>
                </c:pt>
                <c:pt idx="9">
                  <c:v>Villanova University</c:v>
                </c:pt>
                <c:pt idx="10">
                  <c:v>Catholic University of America</c:v>
                </c:pt>
                <c:pt idx="11">
                  <c:v>Duquesne University</c:v>
                </c:pt>
                <c:pt idx="12">
                  <c:v>Providence College</c:v>
                </c:pt>
                <c:pt idx="13">
                  <c:v>Marquette University</c:v>
                </c:pt>
                <c:pt idx="14">
                  <c:v>Rutgers University-New Brunswick</c:v>
                </c:pt>
                <c:pt idx="15">
                  <c:v>Syracuse University</c:v>
                </c:pt>
              </c:strCache>
            </c:strRef>
          </c:cat>
          <c:val>
            <c:numRef>
              <c:f>'Graduate Student IPEDS Info'!$J$2:$J$17</c:f>
            </c:numRef>
          </c:val>
        </c:ser>
        <c:ser>
          <c:idx val="8"/>
          <c:order val="8"/>
          <c:invertIfNegative val="0"/>
          <c:cat>
            <c:strRef>
              <c:f>'Graduate Student IPEDS Info'!$B$2:$B$17</c:f>
              <c:strCache>
                <c:ptCount val="16"/>
                <c:pt idx="0">
                  <c:v>University of San Francisco</c:v>
                </c:pt>
                <c:pt idx="1">
                  <c:v>University of San Diego</c:v>
                </c:pt>
                <c:pt idx="2">
                  <c:v>Fairfield University</c:v>
                </c:pt>
                <c:pt idx="3">
                  <c:v>Seton Hall University</c:v>
                </c:pt>
                <c:pt idx="4">
                  <c:v>Fordham University</c:v>
                </c:pt>
                <c:pt idx="5">
                  <c:v>University of Scranton</c:v>
                </c:pt>
                <c:pt idx="6">
                  <c:v>Saint Louis University-Main Campus</c:v>
                </c:pt>
                <c:pt idx="7">
                  <c:v>Loyola University Chicago</c:v>
                </c:pt>
                <c:pt idx="8">
                  <c:v>St. John's University-New York</c:v>
                </c:pt>
                <c:pt idx="9">
                  <c:v>Villanova University</c:v>
                </c:pt>
                <c:pt idx="10">
                  <c:v>Catholic University of America</c:v>
                </c:pt>
                <c:pt idx="11">
                  <c:v>Duquesne University</c:v>
                </c:pt>
                <c:pt idx="12">
                  <c:v>Providence College</c:v>
                </c:pt>
                <c:pt idx="13">
                  <c:v>Marquette University</c:v>
                </c:pt>
                <c:pt idx="14">
                  <c:v>Rutgers University-New Brunswick</c:v>
                </c:pt>
                <c:pt idx="15">
                  <c:v>Syracuse University</c:v>
                </c:pt>
              </c:strCache>
            </c:strRef>
          </c:cat>
          <c:val>
            <c:numRef>
              <c:f>'Graduate Student IPEDS Info'!$K$2:$K$17</c:f>
            </c:numRef>
          </c:val>
        </c:ser>
        <c:ser>
          <c:idx val="9"/>
          <c:order val="9"/>
          <c:invertIfNegative val="0"/>
          <c:cat>
            <c:strRef>
              <c:f>'Graduate Student IPEDS Info'!$B$2:$B$17</c:f>
              <c:strCache>
                <c:ptCount val="16"/>
                <c:pt idx="0">
                  <c:v>University of San Francisco</c:v>
                </c:pt>
                <c:pt idx="1">
                  <c:v>University of San Diego</c:v>
                </c:pt>
                <c:pt idx="2">
                  <c:v>Fairfield University</c:v>
                </c:pt>
                <c:pt idx="3">
                  <c:v>Seton Hall University</c:v>
                </c:pt>
                <c:pt idx="4">
                  <c:v>Fordham University</c:v>
                </c:pt>
                <c:pt idx="5">
                  <c:v>University of Scranton</c:v>
                </c:pt>
                <c:pt idx="6">
                  <c:v>Saint Louis University-Main Campus</c:v>
                </c:pt>
                <c:pt idx="7">
                  <c:v>Loyola University Chicago</c:v>
                </c:pt>
                <c:pt idx="8">
                  <c:v>St. John's University-New York</c:v>
                </c:pt>
                <c:pt idx="9">
                  <c:v>Villanova University</c:v>
                </c:pt>
                <c:pt idx="10">
                  <c:v>Catholic University of America</c:v>
                </c:pt>
                <c:pt idx="11">
                  <c:v>Duquesne University</c:v>
                </c:pt>
                <c:pt idx="12">
                  <c:v>Providence College</c:v>
                </c:pt>
                <c:pt idx="13">
                  <c:v>Marquette University</c:v>
                </c:pt>
                <c:pt idx="14">
                  <c:v>Rutgers University-New Brunswick</c:v>
                </c:pt>
                <c:pt idx="15">
                  <c:v>Syracuse University</c:v>
                </c:pt>
              </c:strCache>
            </c:strRef>
          </c:cat>
          <c:val>
            <c:numRef>
              <c:f>'Graduate Student IPEDS Info'!$L$2:$L$17</c:f>
            </c:numRef>
          </c:val>
        </c:ser>
        <c:ser>
          <c:idx val="10"/>
          <c:order val="10"/>
          <c:invertIfNegative val="0"/>
          <c:cat>
            <c:strRef>
              <c:f>'Graduate Student IPEDS Info'!$B$2:$B$17</c:f>
              <c:strCache>
                <c:ptCount val="16"/>
                <c:pt idx="0">
                  <c:v>University of San Francisco</c:v>
                </c:pt>
                <c:pt idx="1">
                  <c:v>University of San Diego</c:v>
                </c:pt>
                <c:pt idx="2">
                  <c:v>Fairfield University</c:v>
                </c:pt>
                <c:pt idx="3">
                  <c:v>Seton Hall University</c:v>
                </c:pt>
                <c:pt idx="4">
                  <c:v>Fordham University</c:v>
                </c:pt>
                <c:pt idx="5">
                  <c:v>University of Scranton</c:v>
                </c:pt>
                <c:pt idx="6">
                  <c:v>Saint Louis University-Main Campus</c:v>
                </c:pt>
                <c:pt idx="7">
                  <c:v>Loyola University Chicago</c:v>
                </c:pt>
                <c:pt idx="8">
                  <c:v>St. John's University-New York</c:v>
                </c:pt>
                <c:pt idx="9">
                  <c:v>Villanova University</c:v>
                </c:pt>
                <c:pt idx="10">
                  <c:v>Catholic University of America</c:v>
                </c:pt>
                <c:pt idx="11">
                  <c:v>Duquesne University</c:v>
                </c:pt>
                <c:pt idx="12">
                  <c:v>Providence College</c:v>
                </c:pt>
                <c:pt idx="13">
                  <c:v>Marquette University</c:v>
                </c:pt>
                <c:pt idx="14">
                  <c:v>Rutgers University-New Brunswick</c:v>
                </c:pt>
                <c:pt idx="15">
                  <c:v>Syracuse University</c:v>
                </c:pt>
              </c:strCache>
            </c:strRef>
          </c:cat>
          <c:val>
            <c:numRef>
              <c:f>'Graduate Student IPEDS Info'!$M$2:$M$17</c:f>
            </c:numRef>
          </c:val>
        </c:ser>
        <c:ser>
          <c:idx val="11"/>
          <c:order val="11"/>
          <c:invertIfNegative val="0"/>
          <c:cat>
            <c:strRef>
              <c:f>'Graduate Student IPEDS Info'!$B$2:$B$17</c:f>
              <c:strCache>
                <c:ptCount val="16"/>
                <c:pt idx="0">
                  <c:v>University of San Francisco</c:v>
                </c:pt>
                <c:pt idx="1">
                  <c:v>University of San Diego</c:v>
                </c:pt>
                <c:pt idx="2">
                  <c:v>Fairfield University</c:v>
                </c:pt>
                <c:pt idx="3">
                  <c:v>Seton Hall University</c:v>
                </c:pt>
                <c:pt idx="4">
                  <c:v>Fordham University</c:v>
                </c:pt>
                <c:pt idx="5">
                  <c:v>University of Scranton</c:v>
                </c:pt>
                <c:pt idx="6">
                  <c:v>Saint Louis University-Main Campus</c:v>
                </c:pt>
                <c:pt idx="7">
                  <c:v>Loyola University Chicago</c:v>
                </c:pt>
                <c:pt idx="8">
                  <c:v>St. John's University-New York</c:v>
                </c:pt>
                <c:pt idx="9">
                  <c:v>Villanova University</c:v>
                </c:pt>
                <c:pt idx="10">
                  <c:v>Catholic University of America</c:v>
                </c:pt>
                <c:pt idx="11">
                  <c:v>Duquesne University</c:v>
                </c:pt>
                <c:pt idx="12">
                  <c:v>Providence College</c:v>
                </c:pt>
                <c:pt idx="13">
                  <c:v>Marquette University</c:v>
                </c:pt>
                <c:pt idx="14">
                  <c:v>Rutgers University-New Brunswick</c:v>
                </c:pt>
                <c:pt idx="15">
                  <c:v>Syracuse University</c:v>
                </c:pt>
              </c:strCache>
            </c:strRef>
          </c:cat>
          <c:val>
            <c:numRef>
              <c:f>'Graduate Student IPEDS Info'!$N$2:$N$17</c:f>
            </c:numRef>
          </c:val>
        </c:ser>
        <c:ser>
          <c:idx val="12"/>
          <c:order val="12"/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5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6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7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8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9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2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3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4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5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'Graduate Student IPEDS Info'!$B$2:$B$17</c:f>
              <c:strCache>
                <c:ptCount val="16"/>
                <c:pt idx="0">
                  <c:v>University of San Francisco</c:v>
                </c:pt>
                <c:pt idx="1">
                  <c:v>University of San Diego</c:v>
                </c:pt>
                <c:pt idx="2">
                  <c:v>Fairfield University</c:v>
                </c:pt>
                <c:pt idx="3">
                  <c:v>Seton Hall University</c:v>
                </c:pt>
                <c:pt idx="4">
                  <c:v>Fordham University</c:v>
                </c:pt>
                <c:pt idx="5">
                  <c:v>University of Scranton</c:v>
                </c:pt>
                <c:pt idx="6">
                  <c:v>Saint Louis University-Main Campus</c:v>
                </c:pt>
                <c:pt idx="7">
                  <c:v>Loyola University Chicago</c:v>
                </c:pt>
                <c:pt idx="8">
                  <c:v>St. John's University-New York</c:v>
                </c:pt>
                <c:pt idx="9">
                  <c:v>Villanova University</c:v>
                </c:pt>
                <c:pt idx="10">
                  <c:v>Catholic University of America</c:v>
                </c:pt>
                <c:pt idx="11">
                  <c:v>Duquesne University</c:v>
                </c:pt>
                <c:pt idx="12">
                  <c:v>Providence College</c:v>
                </c:pt>
                <c:pt idx="13">
                  <c:v>Marquette University</c:v>
                </c:pt>
                <c:pt idx="14">
                  <c:v>Rutgers University-New Brunswick</c:v>
                </c:pt>
                <c:pt idx="15">
                  <c:v>Syracuse University</c:v>
                </c:pt>
              </c:strCache>
            </c:strRef>
          </c:cat>
          <c:val>
            <c:numRef>
              <c:f>'Graduate Student IPEDS Info'!$O$2:$O$17</c:f>
              <c:numCache>
                <c:formatCode>0.000</c:formatCode>
                <c:ptCount val="16"/>
                <c:pt idx="0">
                  <c:v>-9.2999999999999999E-2</c:v>
                </c:pt>
                <c:pt idx="1">
                  <c:v>-8.6580060422960722E-2</c:v>
                </c:pt>
                <c:pt idx="2">
                  <c:v>-7.514285714285715E-2</c:v>
                </c:pt>
                <c:pt idx="3">
                  <c:v>-4.3150011539349178E-2</c:v>
                </c:pt>
                <c:pt idx="4">
                  <c:v>-3.9384222059897736E-2</c:v>
                </c:pt>
                <c:pt idx="5">
                  <c:v>-3.5918686052773291E-2</c:v>
                </c:pt>
                <c:pt idx="6">
                  <c:v>-1.6932124049151551E-2</c:v>
                </c:pt>
                <c:pt idx="7">
                  <c:v>-8.6244789061197258E-3</c:v>
                </c:pt>
                <c:pt idx="8">
                  <c:v>-6.4743663045549876E-3</c:v>
                </c:pt>
                <c:pt idx="9">
                  <c:v>-5.7189204708584518E-3</c:v>
                </c:pt>
                <c:pt idx="10">
                  <c:v>1.2916030534351142E-2</c:v>
                </c:pt>
                <c:pt idx="11">
                  <c:v>2.9938894277400582E-2</c:v>
                </c:pt>
                <c:pt idx="12">
                  <c:v>4.578326996197718E-2</c:v>
                </c:pt>
                <c:pt idx="13">
                  <c:v>4.6178240740740728E-2</c:v>
                </c:pt>
                <c:pt idx="14">
                  <c:v>7.9604908946951713E-2</c:v>
                </c:pt>
                <c:pt idx="15">
                  <c:v>0.10568399935804848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273216"/>
        <c:axId val="123274752"/>
      </c:barChart>
      <c:catAx>
        <c:axId val="123273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1200"/>
            </a:pPr>
            <a:endParaRPr lang="en-US"/>
          </a:p>
        </c:txPr>
        <c:crossAx val="123274752"/>
        <c:crosses val="autoZero"/>
        <c:auto val="1"/>
        <c:lblAlgn val="ctr"/>
        <c:lblOffset val="100"/>
        <c:noMultiLvlLbl val="0"/>
      </c:catAx>
      <c:valAx>
        <c:axId val="123274752"/>
        <c:scaling>
          <c:orientation val="minMax"/>
          <c:max val="0.15000000000000002"/>
          <c:min val="-0.1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600"/>
                </a:pPr>
                <a:r>
                  <a:rPr lang="en-US" sz="1600"/>
                  <a:t>Difference</a:t>
                </a:r>
              </a:p>
              <a:p>
                <a:pPr>
                  <a:defRPr sz="1600"/>
                </a:pPr>
                <a:r>
                  <a:rPr lang="en-US" sz="1600"/>
                  <a:t>from</a:t>
                </a:r>
              </a:p>
              <a:p>
                <a:pPr>
                  <a:defRPr sz="1600"/>
                </a:pPr>
                <a:r>
                  <a:rPr lang="en-US" sz="1600"/>
                  <a:t>16</a:t>
                </a:r>
                <a:r>
                  <a:rPr lang="en-US" sz="1600" baseline="0"/>
                  <a:t> School</a:t>
                </a:r>
              </a:p>
              <a:p>
                <a:pPr>
                  <a:defRPr sz="1600"/>
                </a:pPr>
                <a:r>
                  <a:rPr lang="en-US" sz="1600" baseline="0"/>
                  <a:t>Average</a:t>
                </a:r>
                <a:endParaRPr lang="en-US" sz="1600"/>
              </a:p>
            </c:rich>
          </c:tx>
          <c:overlay val="0"/>
        </c:title>
        <c:numFmt formatCode="0.000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en-US"/>
          </a:p>
        </c:txPr>
        <c:crossAx val="123273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Seton Hall University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 Goedert</dc:creator>
  <cp:lastModifiedBy>AutoBVT</cp:lastModifiedBy>
  <cp:revision>3</cp:revision>
  <cp:lastPrinted>2014-03-26T17:09:00Z</cp:lastPrinted>
  <dcterms:created xsi:type="dcterms:W3CDTF">2014-04-02T15:34:00Z</dcterms:created>
  <dcterms:modified xsi:type="dcterms:W3CDTF">2014-04-02T15:54:00Z</dcterms:modified>
</cp:coreProperties>
</file>