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21EA" w14:textId="6CE4BC25" w:rsidR="004C7B87" w:rsidRDefault="004C7B87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APC </w:t>
      </w:r>
      <w:r>
        <w:rPr>
          <w:rStyle w:val="markedcontent"/>
          <w:rFonts w:ascii="Arial" w:hAnsi="Arial" w:cs="Arial"/>
          <w:sz w:val="30"/>
          <w:szCs w:val="30"/>
        </w:rPr>
        <w:t>Resolution</w:t>
      </w:r>
      <w:r>
        <w:rPr>
          <w:rStyle w:val="markedcontent"/>
          <w:rFonts w:ascii="Arial" w:hAnsi="Arial" w:cs="Arial"/>
          <w:sz w:val="30"/>
          <w:szCs w:val="30"/>
        </w:rPr>
        <w:t xml:space="preserve"> – Dean</w:t>
      </w:r>
      <w:r w:rsidR="00C22ABB">
        <w:rPr>
          <w:rStyle w:val="markedcontent"/>
          <w:rFonts w:ascii="Arial" w:hAnsi="Arial" w:cs="Arial"/>
          <w:sz w:val="30"/>
          <w:szCs w:val="30"/>
        </w:rPr>
        <w:t>’</w:t>
      </w:r>
      <w:r>
        <w:rPr>
          <w:rStyle w:val="markedcontent"/>
          <w:rFonts w:ascii="Arial" w:hAnsi="Arial" w:cs="Arial"/>
          <w:sz w:val="30"/>
          <w:szCs w:val="30"/>
        </w:rPr>
        <w:t>s List Revision</w:t>
      </w:r>
    </w:p>
    <w:p w14:paraId="7D89A4EC" w14:textId="514CBC57" w:rsidR="00C22ABB" w:rsidRDefault="004C7B87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Whereas the current qualifications for the Dean</w:t>
      </w:r>
      <w:r w:rsidR="00C22ABB">
        <w:rPr>
          <w:rStyle w:val="markedcontent"/>
          <w:rFonts w:ascii="Arial" w:hAnsi="Arial" w:cs="Arial"/>
          <w:sz w:val="30"/>
          <w:szCs w:val="30"/>
        </w:rPr>
        <w:t>’</w:t>
      </w:r>
      <w:r>
        <w:rPr>
          <w:rStyle w:val="markedcontent"/>
          <w:rFonts w:ascii="Arial" w:hAnsi="Arial" w:cs="Arial"/>
          <w:sz w:val="30"/>
          <w:szCs w:val="30"/>
        </w:rPr>
        <w:t>s List includes a restriction that a</w:t>
      </w:r>
      <w:r w:rsidR="00C22ABB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student cannot be eligible if they have withdrawn from a class during the relevant</w:t>
      </w:r>
      <w:r w:rsidR="00C22ABB"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semester;</w:t>
      </w:r>
      <w:r>
        <w:br/>
      </w:r>
    </w:p>
    <w:p w14:paraId="7407EC27" w14:textId="77777777" w:rsidR="00C22ABB" w:rsidRDefault="004C7B87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Whereas that restriction appears to be unduly restrictive, disqualifying students who</w:t>
      </w:r>
      <w:r w:rsidR="00C22ABB"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 xml:space="preserve">may be compelled to withdraw for a variety of legitimate </w:t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reasons;</w:t>
      </w:r>
      <w:proofErr w:type="gramEnd"/>
    </w:p>
    <w:p w14:paraId="0F965863" w14:textId="308F56C1" w:rsidR="00B444F6" w:rsidRDefault="004C7B87"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Resolved: </w:t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the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 xml:space="preserve"> Dean’s List requirement disqualifying students who have withdrawn from</w:t>
      </w:r>
      <w:r w:rsidR="00C22ABB"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a class during the semester should be replaced with the provision that students who</w:t>
      </w:r>
      <w:r w:rsidR="00C22ABB"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withdraw from a class during the relevant semester remain eligible for the Dean’s List</w:t>
      </w:r>
      <w:r w:rsidR="00C22ABB"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unless they previously have withdrawn from two classes while enrolled at Seton Hall.</w:t>
      </w:r>
    </w:p>
    <w:sectPr w:rsidR="00B44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87"/>
    <w:rsid w:val="00006794"/>
    <w:rsid w:val="004C7B87"/>
    <w:rsid w:val="00B444F6"/>
    <w:rsid w:val="00C2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077A"/>
  <w15:chartTrackingRefBased/>
  <w15:docId w15:val="{05C5AC13-36F6-4AAC-8D21-2885EEA7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4C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Balkun</dc:creator>
  <cp:keywords/>
  <dc:description/>
  <cp:lastModifiedBy>Mary M Balkun</cp:lastModifiedBy>
  <cp:revision>4</cp:revision>
  <dcterms:created xsi:type="dcterms:W3CDTF">2021-12-17T06:28:00Z</dcterms:created>
  <dcterms:modified xsi:type="dcterms:W3CDTF">2021-12-17T06:30:00Z</dcterms:modified>
</cp:coreProperties>
</file>