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C2B2" w14:textId="782DBD2D" w:rsidR="00DE2AAF" w:rsidRPr="003521B5" w:rsidRDefault="00044C4E" w:rsidP="00A97D59">
      <w:pPr>
        <w:tabs>
          <w:tab w:val="left" w:pos="720"/>
        </w:tabs>
        <w:spacing w:before="11" w:line="276" w:lineRule="auto"/>
        <w:rPr>
          <w:rFonts w:ascii="Cambria" w:eastAsia="Calibri" w:hAnsi="Cambria" w:cs="Calibri"/>
          <w:b/>
          <w:bCs/>
          <w:sz w:val="24"/>
          <w:szCs w:val="24"/>
          <w:rPrChange w:id="0" w:author="Nathaniel Knight" w:date="2021-11-17T01:00:00Z">
            <w:rPr>
              <w:rFonts w:ascii="Cambria" w:eastAsia="Calibri" w:hAnsi="Cambria" w:cs="Calibri"/>
              <w:sz w:val="24"/>
              <w:szCs w:val="24"/>
            </w:rPr>
          </w:rPrChange>
        </w:rPr>
      </w:pPr>
      <w:r>
        <w:rPr>
          <w:rFonts w:ascii="Cambria" w:eastAsia="Calibri" w:hAnsi="Cambria" w:cs="Calibri"/>
          <w:b/>
          <w:bCs/>
          <w:sz w:val="24"/>
          <w:szCs w:val="24"/>
        </w:rPr>
        <w:t>Faculty Guide Language</w:t>
      </w:r>
      <w:r w:rsidR="003521B5" w:rsidRPr="003521B5">
        <w:rPr>
          <w:rFonts w:ascii="Cambria" w:eastAsia="Calibri" w:hAnsi="Cambria" w:cs="Calibri"/>
          <w:b/>
          <w:bCs/>
          <w:sz w:val="24"/>
          <w:szCs w:val="24"/>
          <w:rPrChange w:id="1" w:author="Nathaniel Knight" w:date="2021-11-17T01:00:00Z">
            <w:rPr>
              <w:rFonts w:ascii="Cambria" w:eastAsia="Calibri" w:hAnsi="Cambria" w:cs="Calibri"/>
              <w:sz w:val="24"/>
              <w:szCs w:val="24"/>
            </w:rPr>
          </w:rPrChange>
        </w:rPr>
        <w:t xml:space="preserve"> for the Creation of a Post-Doctoral Fellow Position</w:t>
      </w:r>
    </w:p>
    <w:p w14:paraId="20478F55" w14:textId="77777777" w:rsidR="00DE2AAF" w:rsidRDefault="00DE2AAF" w:rsidP="00A97D59">
      <w:pPr>
        <w:tabs>
          <w:tab w:val="left" w:pos="720"/>
        </w:tabs>
        <w:spacing w:before="11" w:line="276" w:lineRule="auto"/>
        <w:rPr>
          <w:rFonts w:ascii="Cambria" w:eastAsia="Calibri" w:hAnsi="Cambria" w:cs="Calibri"/>
          <w:sz w:val="24"/>
          <w:szCs w:val="24"/>
        </w:rPr>
      </w:pPr>
    </w:p>
    <w:p w14:paraId="08EB018C" w14:textId="1AE9F9E9" w:rsidR="003521B5" w:rsidRPr="003521B5" w:rsidRDefault="003521B5" w:rsidP="00A97D59">
      <w:pPr>
        <w:tabs>
          <w:tab w:val="left" w:pos="720"/>
        </w:tabs>
        <w:spacing w:before="11" w:line="276" w:lineRule="auto"/>
        <w:rPr>
          <w:rFonts w:ascii="Cambria" w:eastAsia="Calibri" w:hAnsi="Cambria" w:cs="Calibri"/>
          <w:b/>
          <w:bCs/>
          <w:sz w:val="24"/>
          <w:szCs w:val="24"/>
          <w:rPrChange w:id="2" w:author="Nathaniel Knight" w:date="2021-11-17T01:01:00Z">
            <w:rPr>
              <w:rFonts w:ascii="Cambria" w:eastAsia="Calibri" w:hAnsi="Cambria" w:cs="Calibri"/>
              <w:sz w:val="24"/>
              <w:szCs w:val="24"/>
            </w:rPr>
          </w:rPrChange>
        </w:rPr>
      </w:pPr>
      <w:r w:rsidRPr="003521B5">
        <w:rPr>
          <w:rFonts w:ascii="Cambria" w:eastAsia="Calibri" w:hAnsi="Cambria" w:cs="Calibri"/>
          <w:b/>
          <w:bCs/>
          <w:sz w:val="24"/>
          <w:szCs w:val="24"/>
          <w:rPrChange w:id="3" w:author="Nathaniel Knight" w:date="2021-11-17T01:01:00Z">
            <w:rPr>
              <w:rFonts w:ascii="Cambria" w:eastAsia="Calibri" w:hAnsi="Cambria" w:cs="Calibri"/>
              <w:sz w:val="24"/>
              <w:szCs w:val="24"/>
            </w:rPr>
          </w:rPrChange>
        </w:rPr>
        <w:t>Amendments to Article 3.1</w:t>
      </w:r>
      <w:r>
        <w:rPr>
          <w:rFonts w:ascii="Cambria" w:eastAsia="Calibri" w:hAnsi="Cambria" w:cs="Calibri"/>
          <w:b/>
          <w:bCs/>
          <w:sz w:val="24"/>
          <w:szCs w:val="24"/>
        </w:rPr>
        <w:br/>
      </w:r>
    </w:p>
    <w:p w14:paraId="39897E12" w14:textId="3BBE2700" w:rsidR="00A97D59" w:rsidRPr="004C4BDF" w:rsidRDefault="00A97D59" w:rsidP="00A97D59">
      <w:pPr>
        <w:tabs>
          <w:tab w:val="left" w:pos="720"/>
        </w:tabs>
        <w:spacing w:before="11" w:line="276" w:lineRule="auto"/>
        <w:rPr>
          <w:rFonts w:ascii="Cambria" w:eastAsia="Calibri" w:hAnsi="Cambria" w:cs="Calibri"/>
          <w:sz w:val="24"/>
          <w:szCs w:val="24"/>
        </w:rPr>
      </w:pPr>
      <w:r w:rsidRPr="004C4BDF">
        <w:rPr>
          <w:rFonts w:ascii="Cambria" w:eastAsia="Calibri" w:hAnsi="Cambria" w:cs="Calibri"/>
          <w:sz w:val="24"/>
          <w:szCs w:val="24"/>
        </w:rPr>
        <w:t>3.1</w:t>
      </w:r>
      <w:r>
        <w:rPr>
          <w:rFonts w:ascii="Cambria" w:eastAsia="Calibri" w:hAnsi="Cambria" w:cs="Calibri"/>
          <w:sz w:val="24"/>
          <w:szCs w:val="24"/>
        </w:rPr>
        <w:tab/>
      </w:r>
      <w:r w:rsidRPr="004C4BDF">
        <w:rPr>
          <w:rFonts w:ascii="Cambria" w:eastAsia="Calibri" w:hAnsi="Cambria" w:cs="Calibri"/>
          <w:sz w:val="24"/>
          <w:szCs w:val="24"/>
        </w:rPr>
        <w:t xml:space="preserve">Categories of </w:t>
      </w:r>
      <w:r>
        <w:rPr>
          <w:rFonts w:ascii="Cambria" w:eastAsia="Calibri" w:hAnsi="Cambria" w:cs="Calibri"/>
          <w:sz w:val="24"/>
          <w:szCs w:val="24"/>
        </w:rPr>
        <w:t>Faculty</w:t>
      </w:r>
    </w:p>
    <w:p w14:paraId="6AB64DCE" w14:textId="77777777" w:rsidR="00A97D59" w:rsidRPr="004C4BDF" w:rsidRDefault="00A97D59" w:rsidP="00A97D59">
      <w:pPr>
        <w:tabs>
          <w:tab w:val="left" w:pos="9180"/>
        </w:tabs>
        <w:spacing w:before="2" w:line="276" w:lineRule="auto"/>
        <w:rPr>
          <w:rFonts w:ascii="Cambria" w:hAnsi="Cambria"/>
          <w:sz w:val="24"/>
          <w:szCs w:val="24"/>
        </w:rPr>
      </w:pPr>
    </w:p>
    <w:p w14:paraId="6ED3CCCC" w14:textId="71EF733A" w:rsidR="00A97D59" w:rsidRPr="004C4BDF" w:rsidRDefault="00A97D59" w:rsidP="00A97D59">
      <w:pPr>
        <w:tabs>
          <w:tab w:val="left" w:pos="9180"/>
        </w:tabs>
        <w:spacing w:line="276" w:lineRule="auto"/>
        <w:ind w:left="720" w:right="526"/>
        <w:rPr>
          <w:rFonts w:ascii="Cambria" w:eastAsia="Calibri" w:hAnsi="Cambria" w:cs="Calibri"/>
          <w:sz w:val="24"/>
          <w:szCs w:val="24"/>
        </w:rPr>
      </w:pPr>
      <w:r w:rsidRPr="004C4BDF">
        <w:rPr>
          <w:rFonts w:ascii="Cambria" w:eastAsia="Calibri" w:hAnsi="Cambria" w:cs="Calibri"/>
          <w:sz w:val="24"/>
          <w:szCs w:val="24"/>
        </w:rPr>
        <w:t xml:space="preserve">University </w:t>
      </w:r>
      <w:r>
        <w:rPr>
          <w:rFonts w:ascii="Cambria" w:eastAsia="Calibri" w:hAnsi="Cambria" w:cs="Calibri"/>
          <w:sz w:val="24"/>
          <w:szCs w:val="24"/>
        </w:rPr>
        <w:t>Faculty</w:t>
      </w:r>
      <w:r w:rsidRPr="004C4BDF">
        <w:rPr>
          <w:rFonts w:ascii="Cambria" w:eastAsia="Calibri" w:hAnsi="Cambria" w:cs="Calibri"/>
          <w:sz w:val="24"/>
          <w:szCs w:val="24"/>
        </w:rPr>
        <w:t xml:space="preserve"> may be appointed into the following categories: Tenure-track, Tenured, Contract, </w:t>
      </w:r>
      <w:r>
        <w:rPr>
          <w:rFonts w:ascii="Cambria" w:eastAsia="Calibri" w:hAnsi="Cambria" w:cs="Calibri"/>
          <w:sz w:val="24"/>
          <w:szCs w:val="24"/>
        </w:rPr>
        <w:t>Faculty</w:t>
      </w:r>
      <w:r w:rsidRPr="004C4BDF">
        <w:rPr>
          <w:rFonts w:ascii="Cambria" w:eastAsia="Calibri" w:hAnsi="Cambria" w:cs="Calibri"/>
          <w:sz w:val="24"/>
          <w:szCs w:val="24"/>
        </w:rPr>
        <w:t xml:space="preserve"> Associate, Lecturer, </w:t>
      </w:r>
      <w:r w:rsidR="009918F9" w:rsidRPr="00B122E5">
        <w:rPr>
          <w:rFonts w:ascii="Cambria" w:eastAsia="Calibri" w:hAnsi="Cambria" w:cs="Calibri"/>
          <w:color w:val="00B050"/>
          <w:sz w:val="24"/>
          <w:szCs w:val="24"/>
        </w:rPr>
        <w:t>Post-Doctoral Fellow</w:t>
      </w:r>
      <w:r w:rsidR="009918F9">
        <w:rPr>
          <w:rFonts w:ascii="Cambria" w:eastAsia="Calibri" w:hAnsi="Cambria" w:cs="Calibri"/>
          <w:sz w:val="24"/>
          <w:szCs w:val="24"/>
        </w:rPr>
        <w:t xml:space="preserve">, </w:t>
      </w:r>
      <w:r w:rsidRPr="004C4BDF">
        <w:rPr>
          <w:rFonts w:ascii="Cambria" w:eastAsia="Calibri" w:hAnsi="Cambria" w:cs="Calibri"/>
          <w:sz w:val="24"/>
          <w:szCs w:val="24"/>
        </w:rPr>
        <w:t>Clinical, and Adjunct.</w:t>
      </w:r>
      <w:r>
        <w:rPr>
          <w:rFonts w:ascii="Cambria" w:eastAsia="Calibri" w:hAnsi="Cambria" w:cs="Calibri"/>
          <w:sz w:val="24"/>
          <w:szCs w:val="24"/>
        </w:rPr>
        <w:t xml:space="preserve"> </w:t>
      </w:r>
      <w:r w:rsidRPr="004C4BDF">
        <w:rPr>
          <w:rFonts w:ascii="Cambria" w:eastAsia="Calibri" w:hAnsi="Cambria" w:cs="Calibri"/>
          <w:sz w:val="24"/>
          <w:szCs w:val="24"/>
        </w:rPr>
        <w:t xml:space="preserve">In addition, Tenured </w:t>
      </w:r>
      <w:r>
        <w:rPr>
          <w:rFonts w:ascii="Cambria" w:eastAsia="Calibri" w:hAnsi="Cambria" w:cs="Calibri"/>
          <w:sz w:val="24"/>
          <w:szCs w:val="24"/>
        </w:rPr>
        <w:t>Faculty</w:t>
      </w:r>
      <w:r w:rsidRPr="004C4BDF">
        <w:rPr>
          <w:rFonts w:ascii="Cambria" w:eastAsia="Calibri" w:hAnsi="Cambria" w:cs="Calibri"/>
          <w:sz w:val="24"/>
          <w:szCs w:val="24"/>
        </w:rPr>
        <w:t xml:space="preserve">, after retirement, may be appointed to the rank of </w:t>
      </w:r>
      <w:r w:rsidRPr="004C4BDF">
        <w:rPr>
          <w:rFonts w:ascii="Cambria" w:eastAsia="Calibri" w:hAnsi="Cambria" w:cs="Calibri"/>
          <w:i/>
          <w:sz w:val="24"/>
          <w:szCs w:val="24"/>
        </w:rPr>
        <w:t>emeritus</w:t>
      </w:r>
      <w:r w:rsidRPr="004C4BDF">
        <w:rPr>
          <w:rFonts w:ascii="Cambria" w:eastAsia="Calibri" w:hAnsi="Cambria" w:cs="Calibri"/>
          <w:sz w:val="24"/>
          <w:szCs w:val="24"/>
        </w:rPr>
        <w:t>, as set forth in</w:t>
      </w:r>
      <w:r>
        <w:rPr>
          <w:rFonts w:ascii="Cambria" w:eastAsia="Calibri" w:hAnsi="Cambria" w:cs="Calibri"/>
          <w:sz w:val="24"/>
          <w:szCs w:val="24"/>
        </w:rPr>
        <w:t xml:space="preserve"> </w:t>
      </w:r>
      <w:proofErr w:type="gramStart"/>
      <w:r w:rsidRPr="004C4BDF">
        <w:rPr>
          <w:rFonts w:ascii="Cambria" w:eastAsia="Calibri" w:hAnsi="Cambria" w:cs="Calibri"/>
          <w:sz w:val="24"/>
          <w:szCs w:val="24"/>
        </w:rPr>
        <w:t>University</w:t>
      </w:r>
      <w:proofErr w:type="gramEnd"/>
      <w:r w:rsidRPr="004C4BDF">
        <w:rPr>
          <w:rFonts w:ascii="Cambria" w:eastAsia="Calibri" w:hAnsi="Cambria" w:cs="Calibri"/>
          <w:sz w:val="24"/>
          <w:szCs w:val="24"/>
        </w:rPr>
        <w:t xml:space="preserve"> policy.</w:t>
      </w:r>
    </w:p>
    <w:p w14:paraId="31CCB50B" w14:textId="77777777" w:rsidR="00A97D59" w:rsidRDefault="00A97D59" w:rsidP="00AD0FDB">
      <w:pPr>
        <w:tabs>
          <w:tab w:val="left" w:pos="9180"/>
        </w:tabs>
        <w:spacing w:line="276" w:lineRule="auto"/>
        <w:rPr>
          <w:rFonts w:ascii="Cambria" w:eastAsia="Calibri" w:hAnsi="Cambria" w:cs="Calibri"/>
          <w:sz w:val="24"/>
          <w:szCs w:val="24"/>
        </w:rPr>
      </w:pPr>
    </w:p>
    <w:p w14:paraId="154A2BB5" w14:textId="77777777" w:rsidR="00A97D59" w:rsidRPr="004C4BDF" w:rsidRDefault="00A97D59" w:rsidP="00A97D59">
      <w:pPr>
        <w:tabs>
          <w:tab w:val="left" w:pos="9180"/>
        </w:tabs>
        <w:spacing w:line="276" w:lineRule="auto"/>
        <w:ind w:firstLine="720"/>
        <w:rPr>
          <w:rFonts w:ascii="Cambria" w:eastAsia="Calibri" w:hAnsi="Cambria" w:cs="Calibri"/>
          <w:sz w:val="24"/>
          <w:szCs w:val="24"/>
        </w:rPr>
      </w:pPr>
      <w:r w:rsidRPr="004C4BDF">
        <w:rPr>
          <w:rFonts w:ascii="Cambria" w:eastAsia="Calibri" w:hAnsi="Cambria" w:cs="Calibri"/>
          <w:sz w:val="24"/>
          <w:szCs w:val="24"/>
        </w:rPr>
        <w:t xml:space="preserve">b.           Term </w:t>
      </w:r>
      <w:r>
        <w:rPr>
          <w:rFonts w:ascii="Cambria" w:eastAsia="Calibri" w:hAnsi="Cambria" w:cs="Calibri"/>
          <w:sz w:val="24"/>
          <w:szCs w:val="24"/>
        </w:rPr>
        <w:t>Faculty</w:t>
      </w:r>
    </w:p>
    <w:p w14:paraId="597B87E2" w14:textId="77777777" w:rsidR="00A97D59" w:rsidRDefault="00A97D59" w:rsidP="00A97D59">
      <w:pPr>
        <w:tabs>
          <w:tab w:val="left" w:pos="9180"/>
        </w:tabs>
        <w:spacing w:before="33" w:line="276" w:lineRule="auto"/>
        <w:ind w:left="720" w:right="282"/>
        <w:rPr>
          <w:rFonts w:ascii="Cambria" w:eastAsia="Calibri" w:hAnsi="Cambria" w:cs="Calibri"/>
          <w:sz w:val="24"/>
          <w:szCs w:val="24"/>
        </w:rPr>
      </w:pPr>
    </w:p>
    <w:p w14:paraId="5689DF2A" w14:textId="18885D5D" w:rsidR="00A97D59" w:rsidRPr="004C4BDF" w:rsidRDefault="00A97D59" w:rsidP="00AD0FDB">
      <w:pPr>
        <w:tabs>
          <w:tab w:val="left" w:pos="9180"/>
        </w:tabs>
        <w:spacing w:before="33" w:line="276" w:lineRule="auto"/>
        <w:ind w:left="1440" w:right="282"/>
        <w:rPr>
          <w:rFonts w:ascii="Cambria" w:hAnsi="Cambria"/>
          <w:sz w:val="24"/>
          <w:szCs w:val="24"/>
        </w:rPr>
      </w:pPr>
      <w:r w:rsidRPr="004C4BDF">
        <w:rPr>
          <w:rFonts w:ascii="Cambria" w:eastAsia="Calibri" w:hAnsi="Cambria" w:cs="Calibri"/>
          <w:sz w:val="24"/>
          <w:szCs w:val="24"/>
        </w:rPr>
        <w:t xml:space="preserve">“Term </w:t>
      </w:r>
      <w:r>
        <w:rPr>
          <w:rFonts w:ascii="Cambria" w:eastAsia="Calibri" w:hAnsi="Cambria" w:cs="Calibri"/>
          <w:sz w:val="24"/>
          <w:szCs w:val="24"/>
        </w:rPr>
        <w:t>Faculty</w:t>
      </w:r>
      <w:r w:rsidRPr="004C4BDF">
        <w:rPr>
          <w:rFonts w:ascii="Cambria" w:eastAsia="Calibri" w:hAnsi="Cambria" w:cs="Calibri"/>
          <w:sz w:val="24"/>
          <w:szCs w:val="24"/>
        </w:rPr>
        <w:t xml:space="preserve">” refers to all </w:t>
      </w:r>
      <w:r>
        <w:rPr>
          <w:rFonts w:ascii="Cambria" w:eastAsia="Calibri" w:hAnsi="Cambria" w:cs="Calibri"/>
          <w:sz w:val="24"/>
          <w:szCs w:val="24"/>
        </w:rPr>
        <w:t>Faculty</w:t>
      </w:r>
      <w:r w:rsidRPr="004C4BDF">
        <w:rPr>
          <w:rFonts w:ascii="Cambria" w:eastAsia="Calibri" w:hAnsi="Cambria" w:cs="Calibri"/>
          <w:sz w:val="24"/>
          <w:szCs w:val="24"/>
        </w:rPr>
        <w:t xml:space="preserve"> members not eligible for tenure who are appointed for a fixed term stated in a contract which specifies obligations and compensation. There are </w:t>
      </w:r>
      <w:r w:rsidR="00DA2C29" w:rsidRPr="00B122E5">
        <w:rPr>
          <w:rFonts w:ascii="Cambria" w:eastAsia="Calibri" w:hAnsi="Cambria" w:cs="Calibri"/>
          <w:color w:val="00B050"/>
          <w:sz w:val="24"/>
          <w:szCs w:val="24"/>
        </w:rPr>
        <w:t>five</w:t>
      </w:r>
      <w:r w:rsidR="00DA2C29">
        <w:rPr>
          <w:rFonts w:ascii="Cambria" w:eastAsia="Calibri" w:hAnsi="Cambria" w:cs="Calibri"/>
          <w:sz w:val="24"/>
          <w:szCs w:val="24"/>
        </w:rPr>
        <w:t xml:space="preserve"> </w:t>
      </w:r>
      <w:r w:rsidRPr="004C4BDF">
        <w:rPr>
          <w:rFonts w:ascii="Cambria" w:eastAsia="Calibri" w:hAnsi="Cambria" w:cs="Calibri"/>
          <w:sz w:val="24"/>
          <w:szCs w:val="24"/>
        </w:rPr>
        <w:t xml:space="preserve">categories of Term </w:t>
      </w:r>
      <w:r>
        <w:rPr>
          <w:rFonts w:ascii="Cambria" w:eastAsia="Calibri" w:hAnsi="Cambria" w:cs="Calibri"/>
          <w:sz w:val="24"/>
          <w:szCs w:val="24"/>
        </w:rPr>
        <w:t>Faculty</w:t>
      </w:r>
      <w:r w:rsidRPr="004C4BDF">
        <w:rPr>
          <w:rFonts w:ascii="Cambria" w:eastAsia="Calibri" w:hAnsi="Cambria" w:cs="Calibri"/>
          <w:sz w:val="24"/>
          <w:szCs w:val="24"/>
        </w:rPr>
        <w:t xml:space="preserve">: Contract </w:t>
      </w:r>
      <w:r>
        <w:rPr>
          <w:rFonts w:ascii="Cambria" w:eastAsia="Calibri" w:hAnsi="Cambria" w:cs="Calibri"/>
          <w:sz w:val="24"/>
          <w:szCs w:val="24"/>
        </w:rPr>
        <w:t>Faculty</w:t>
      </w:r>
      <w:r w:rsidRPr="004C4BDF">
        <w:rPr>
          <w:rFonts w:ascii="Cambria" w:eastAsia="Calibri" w:hAnsi="Cambria" w:cs="Calibri"/>
          <w:sz w:val="24"/>
          <w:szCs w:val="24"/>
        </w:rPr>
        <w:t xml:space="preserve">, Lecturers, </w:t>
      </w:r>
      <w:r>
        <w:rPr>
          <w:rFonts w:ascii="Cambria" w:eastAsia="Calibri" w:hAnsi="Cambria" w:cs="Calibri"/>
          <w:sz w:val="24"/>
          <w:szCs w:val="24"/>
        </w:rPr>
        <w:t>Faculty</w:t>
      </w:r>
      <w:r w:rsidRPr="004C4BDF">
        <w:rPr>
          <w:rFonts w:ascii="Cambria" w:eastAsia="Calibri" w:hAnsi="Cambria" w:cs="Calibri"/>
          <w:sz w:val="24"/>
          <w:szCs w:val="24"/>
        </w:rPr>
        <w:t xml:space="preserve"> Associates, Clinical </w:t>
      </w:r>
      <w:r>
        <w:rPr>
          <w:rFonts w:ascii="Cambria" w:eastAsia="Calibri" w:hAnsi="Cambria" w:cs="Calibri"/>
          <w:sz w:val="24"/>
          <w:szCs w:val="24"/>
        </w:rPr>
        <w:t>Faculty</w:t>
      </w:r>
      <w:r w:rsidR="00DA2C29" w:rsidRPr="00B122E5">
        <w:rPr>
          <w:rFonts w:ascii="Cambria" w:eastAsia="Calibri" w:hAnsi="Cambria" w:cs="Calibri"/>
          <w:color w:val="00B050"/>
          <w:sz w:val="24"/>
          <w:szCs w:val="24"/>
        </w:rPr>
        <w:t>, and Post-Doctoral Fellows</w:t>
      </w:r>
      <w:r w:rsidR="003B6A67">
        <w:rPr>
          <w:rFonts w:ascii="Cambria" w:eastAsia="Calibri" w:hAnsi="Cambria" w:cs="Calibri"/>
          <w:color w:val="00B050"/>
          <w:sz w:val="24"/>
          <w:szCs w:val="24"/>
        </w:rPr>
        <w:t>.</w:t>
      </w:r>
    </w:p>
    <w:p w14:paraId="024329D3" w14:textId="77777777" w:rsidR="00A97D59" w:rsidRPr="004C4BDF" w:rsidRDefault="00A97D59" w:rsidP="00A97D59">
      <w:pPr>
        <w:tabs>
          <w:tab w:val="left" w:pos="9180"/>
        </w:tabs>
        <w:spacing w:line="276" w:lineRule="auto"/>
        <w:rPr>
          <w:rFonts w:ascii="Cambria" w:hAnsi="Cambria"/>
          <w:sz w:val="24"/>
          <w:szCs w:val="24"/>
        </w:rPr>
      </w:pPr>
    </w:p>
    <w:p w14:paraId="65A835C7" w14:textId="2AFFA956" w:rsidR="00A97D59" w:rsidRPr="00B122E5" w:rsidRDefault="00BA2EE0" w:rsidP="009918F9">
      <w:pPr>
        <w:tabs>
          <w:tab w:val="left" w:pos="2160"/>
          <w:tab w:val="left" w:pos="9180"/>
        </w:tabs>
        <w:spacing w:before="15" w:line="276" w:lineRule="auto"/>
        <w:ind w:firstLine="1440"/>
        <w:rPr>
          <w:rFonts w:ascii="Cambria" w:hAnsi="Cambria"/>
          <w:color w:val="00B050"/>
          <w:sz w:val="24"/>
          <w:szCs w:val="24"/>
        </w:rPr>
      </w:pPr>
      <w:r w:rsidRPr="00B122E5">
        <w:rPr>
          <w:rFonts w:ascii="Cambria" w:hAnsi="Cambria"/>
          <w:color w:val="00B050"/>
          <w:sz w:val="24"/>
          <w:szCs w:val="24"/>
        </w:rPr>
        <w:t>5</w:t>
      </w:r>
      <w:r w:rsidR="009918F9" w:rsidRPr="00B122E5">
        <w:rPr>
          <w:rFonts w:ascii="Cambria" w:hAnsi="Cambria"/>
          <w:color w:val="00B050"/>
          <w:sz w:val="24"/>
          <w:szCs w:val="24"/>
        </w:rPr>
        <w:t xml:space="preserve">. </w:t>
      </w:r>
      <w:r w:rsidR="009918F9" w:rsidRPr="00B122E5">
        <w:rPr>
          <w:rFonts w:ascii="Cambria" w:hAnsi="Cambria"/>
          <w:color w:val="00B050"/>
          <w:sz w:val="24"/>
          <w:szCs w:val="24"/>
        </w:rPr>
        <w:tab/>
        <w:t>Post-Doctoral Fellows</w:t>
      </w:r>
    </w:p>
    <w:p w14:paraId="1CE48249" w14:textId="0566F1EE" w:rsidR="009918F9" w:rsidRPr="00B122E5" w:rsidRDefault="009918F9" w:rsidP="009918F9">
      <w:pPr>
        <w:tabs>
          <w:tab w:val="left" w:pos="2160"/>
          <w:tab w:val="left" w:pos="9180"/>
        </w:tabs>
        <w:spacing w:before="15" w:line="276" w:lineRule="auto"/>
        <w:ind w:firstLine="1440"/>
        <w:rPr>
          <w:rFonts w:ascii="Cambria" w:hAnsi="Cambria"/>
          <w:color w:val="00B050"/>
          <w:sz w:val="24"/>
          <w:szCs w:val="24"/>
        </w:rPr>
      </w:pPr>
    </w:p>
    <w:p w14:paraId="02BE7D94" w14:textId="63C921B8" w:rsidR="001F0CFB" w:rsidRPr="00F65F69" w:rsidRDefault="001F0CFB" w:rsidP="00F65F69">
      <w:pPr>
        <w:pStyle w:val="ListParagraph"/>
        <w:numPr>
          <w:ilvl w:val="0"/>
          <w:numId w:val="5"/>
        </w:numPr>
        <w:tabs>
          <w:tab w:val="left" w:pos="2880"/>
          <w:tab w:val="left" w:pos="9180"/>
        </w:tabs>
        <w:spacing w:before="15" w:line="276" w:lineRule="auto"/>
        <w:rPr>
          <w:rFonts w:ascii="Cambria" w:hAnsi="Cambria"/>
          <w:color w:val="00B050"/>
          <w:sz w:val="24"/>
          <w:szCs w:val="24"/>
        </w:rPr>
      </w:pPr>
      <w:r>
        <w:rPr>
          <w:rFonts w:ascii="Cambria" w:hAnsi="Cambria"/>
          <w:color w:val="00B050"/>
          <w:sz w:val="24"/>
          <w:szCs w:val="24"/>
        </w:rPr>
        <w:t>P</w:t>
      </w:r>
      <w:r w:rsidR="009918F9" w:rsidRPr="00F65F69">
        <w:rPr>
          <w:rFonts w:ascii="Cambria" w:hAnsi="Cambria"/>
          <w:color w:val="00B050"/>
          <w:sz w:val="24"/>
          <w:szCs w:val="24"/>
        </w:rPr>
        <w:t xml:space="preserve">ost-Doctoral Fellows are </w:t>
      </w:r>
      <w:r w:rsidR="000922B3" w:rsidRPr="00F65F69">
        <w:rPr>
          <w:rFonts w:ascii="Cambria" w:hAnsi="Cambria"/>
          <w:color w:val="00B050"/>
          <w:sz w:val="24"/>
          <w:szCs w:val="24"/>
        </w:rPr>
        <w:t xml:space="preserve">full-time Faculty members </w:t>
      </w:r>
      <w:r w:rsidR="00C54A43" w:rsidRPr="00F65F69">
        <w:rPr>
          <w:rFonts w:ascii="Cambria" w:hAnsi="Cambria"/>
          <w:color w:val="00B050"/>
          <w:sz w:val="24"/>
          <w:szCs w:val="24"/>
        </w:rPr>
        <w:t xml:space="preserve">engaged primarily </w:t>
      </w:r>
      <w:r w:rsidR="00B72C5C" w:rsidRPr="00F65F69">
        <w:rPr>
          <w:rFonts w:ascii="Cambria" w:hAnsi="Cambria"/>
          <w:color w:val="00B050"/>
          <w:sz w:val="24"/>
          <w:szCs w:val="24"/>
        </w:rPr>
        <w:t xml:space="preserve">in scholarly </w:t>
      </w:r>
      <w:proofErr w:type="gramStart"/>
      <w:r w:rsidR="00B72C5C" w:rsidRPr="00F65F69">
        <w:rPr>
          <w:rFonts w:ascii="Cambria" w:hAnsi="Cambria"/>
          <w:color w:val="00B050"/>
          <w:sz w:val="24"/>
          <w:szCs w:val="24"/>
        </w:rPr>
        <w:t>research</w:t>
      </w:r>
      <w:r w:rsidR="00D37F96">
        <w:rPr>
          <w:rFonts w:ascii="Cambria" w:hAnsi="Cambria"/>
          <w:color w:val="00B050"/>
          <w:sz w:val="24"/>
          <w:szCs w:val="24"/>
        </w:rPr>
        <w:t>, and</w:t>
      </w:r>
      <w:proofErr w:type="gramEnd"/>
      <w:r w:rsidR="00D37F96">
        <w:rPr>
          <w:rFonts w:ascii="Cambria" w:hAnsi="Cambria"/>
          <w:color w:val="00B050"/>
          <w:sz w:val="24"/>
          <w:szCs w:val="24"/>
        </w:rPr>
        <w:t xml:space="preserve"> e</w:t>
      </w:r>
      <w:r w:rsidR="00BD131F">
        <w:rPr>
          <w:rFonts w:ascii="Cambria" w:hAnsi="Cambria"/>
          <w:color w:val="00B050"/>
          <w:sz w:val="24"/>
          <w:szCs w:val="24"/>
        </w:rPr>
        <w:t>mployed o</w:t>
      </w:r>
      <w:r w:rsidR="00D37F96">
        <w:rPr>
          <w:rFonts w:ascii="Cambria" w:hAnsi="Cambria"/>
          <w:color w:val="00B050"/>
          <w:sz w:val="24"/>
          <w:szCs w:val="24"/>
        </w:rPr>
        <w:t xml:space="preserve">n a contractual basis for a fixed term of no more than one </w:t>
      </w:r>
      <w:r w:rsidR="00625CB7">
        <w:rPr>
          <w:rFonts w:ascii="Cambria" w:hAnsi="Cambria"/>
          <w:color w:val="00B050"/>
          <w:sz w:val="24"/>
          <w:szCs w:val="24"/>
        </w:rPr>
        <w:t xml:space="preserve">year without expectation of renewal. </w:t>
      </w:r>
      <w:r w:rsidR="00A22763">
        <w:rPr>
          <w:rFonts w:ascii="Cambria" w:hAnsi="Cambria"/>
          <w:color w:val="00B050"/>
          <w:sz w:val="24"/>
          <w:szCs w:val="24"/>
        </w:rPr>
        <w:t xml:space="preserve">Post-Doctoral </w:t>
      </w:r>
      <w:r w:rsidR="00A22763" w:rsidRPr="00681C76">
        <w:rPr>
          <w:rFonts w:ascii="Cambria" w:hAnsi="Cambria"/>
          <w:color w:val="00B050"/>
          <w:sz w:val="24"/>
          <w:szCs w:val="24"/>
        </w:rPr>
        <w:t xml:space="preserve">Fellows are expected to engage in a research agenda agreed upon with their </w:t>
      </w:r>
      <w:r w:rsidR="00A22763">
        <w:rPr>
          <w:rFonts w:ascii="Cambria" w:hAnsi="Cambria"/>
          <w:color w:val="00B050"/>
          <w:sz w:val="24"/>
          <w:szCs w:val="24"/>
        </w:rPr>
        <w:t>D</w:t>
      </w:r>
      <w:r w:rsidR="00A22763" w:rsidRPr="00681C76">
        <w:rPr>
          <w:rFonts w:ascii="Cambria" w:hAnsi="Cambria"/>
          <w:color w:val="00B050"/>
          <w:sz w:val="24"/>
          <w:szCs w:val="24"/>
        </w:rPr>
        <w:t>epartment</w:t>
      </w:r>
      <w:r w:rsidR="00A22763">
        <w:rPr>
          <w:rFonts w:ascii="Cambria" w:hAnsi="Cambria"/>
          <w:color w:val="00B050"/>
          <w:sz w:val="24"/>
          <w:szCs w:val="24"/>
        </w:rPr>
        <w:t xml:space="preserve"> Chair</w:t>
      </w:r>
      <w:r w:rsidR="00A22763" w:rsidRPr="00681C76">
        <w:rPr>
          <w:rFonts w:ascii="Cambria" w:hAnsi="Cambria"/>
          <w:color w:val="00B050"/>
          <w:sz w:val="24"/>
          <w:szCs w:val="24"/>
        </w:rPr>
        <w:t xml:space="preserve"> and to share the results of their research with the University community.</w:t>
      </w:r>
      <w:r w:rsidR="00A22763">
        <w:rPr>
          <w:rFonts w:ascii="Cambria" w:hAnsi="Cambria"/>
          <w:color w:val="00B050"/>
          <w:sz w:val="24"/>
          <w:szCs w:val="24"/>
        </w:rPr>
        <w:t xml:space="preserve"> Post-Doctoral Fellows are not expected as a condition of their employment to engage in teaching or service, unless otherwise specified by their contract.</w:t>
      </w:r>
    </w:p>
    <w:p w14:paraId="6E7259B7" w14:textId="5EBF48C3" w:rsidR="00D670E9" w:rsidRDefault="00B511B7" w:rsidP="001F0CFB">
      <w:pPr>
        <w:pStyle w:val="ListParagraph"/>
        <w:numPr>
          <w:ilvl w:val="0"/>
          <w:numId w:val="5"/>
        </w:numPr>
        <w:tabs>
          <w:tab w:val="left" w:pos="2880"/>
          <w:tab w:val="left" w:pos="9180"/>
        </w:tabs>
        <w:spacing w:before="15" w:line="276" w:lineRule="auto"/>
        <w:rPr>
          <w:rFonts w:ascii="Cambria" w:hAnsi="Cambria"/>
          <w:color w:val="00B050"/>
          <w:sz w:val="24"/>
          <w:szCs w:val="24"/>
        </w:rPr>
      </w:pPr>
      <w:r>
        <w:rPr>
          <w:rFonts w:ascii="Cambria" w:hAnsi="Cambria"/>
          <w:color w:val="00B050"/>
          <w:sz w:val="24"/>
          <w:szCs w:val="24"/>
        </w:rPr>
        <w:t>Pos</w:t>
      </w:r>
      <w:r w:rsidR="00D670E9">
        <w:rPr>
          <w:rFonts w:ascii="Cambria" w:hAnsi="Cambria"/>
          <w:color w:val="00B050"/>
          <w:sz w:val="24"/>
          <w:szCs w:val="24"/>
        </w:rPr>
        <w:t>t</w:t>
      </w:r>
      <w:r>
        <w:rPr>
          <w:rFonts w:ascii="Cambria" w:hAnsi="Cambria"/>
          <w:color w:val="00B050"/>
          <w:sz w:val="24"/>
          <w:szCs w:val="24"/>
        </w:rPr>
        <w:t xml:space="preserve">-Doctoral </w:t>
      </w:r>
      <w:r w:rsidR="00897B9E">
        <w:rPr>
          <w:rFonts w:ascii="Cambria" w:hAnsi="Cambria"/>
          <w:color w:val="00B050"/>
          <w:sz w:val="24"/>
          <w:szCs w:val="24"/>
        </w:rPr>
        <w:t xml:space="preserve">Fellows </w:t>
      </w:r>
      <w:r w:rsidR="00856C04">
        <w:rPr>
          <w:rFonts w:ascii="Cambria" w:hAnsi="Cambria"/>
          <w:color w:val="00B050"/>
          <w:sz w:val="24"/>
          <w:szCs w:val="24"/>
        </w:rPr>
        <w:t xml:space="preserve">may have their terms </w:t>
      </w:r>
      <w:r w:rsidR="00A22763">
        <w:rPr>
          <w:rFonts w:ascii="Cambria" w:hAnsi="Cambria"/>
          <w:color w:val="00B050"/>
          <w:sz w:val="24"/>
          <w:szCs w:val="24"/>
        </w:rPr>
        <w:t>renewed</w:t>
      </w:r>
      <w:r w:rsidR="00856C04">
        <w:rPr>
          <w:rFonts w:ascii="Cambria" w:hAnsi="Cambria"/>
          <w:color w:val="00B050"/>
          <w:sz w:val="24"/>
          <w:szCs w:val="24"/>
        </w:rPr>
        <w:t xml:space="preserve"> by the University</w:t>
      </w:r>
      <w:r w:rsidR="00E47E11">
        <w:rPr>
          <w:rFonts w:ascii="Cambria" w:hAnsi="Cambria"/>
          <w:color w:val="00B050"/>
          <w:sz w:val="24"/>
          <w:szCs w:val="24"/>
        </w:rPr>
        <w:t>,</w:t>
      </w:r>
      <w:r w:rsidR="00856C04">
        <w:rPr>
          <w:rFonts w:ascii="Cambria" w:hAnsi="Cambria"/>
          <w:color w:val="00B050"/>
          <w:sz w:val="24"/>
          <w:szCs w:val="24"/>
        </w:rPr>
        <w:t xml:space="preserve"> but such appointments and reappointments shall be for no more than one year and the to</w:t>
      </w:r>
      <w:r w:rsidR="00BD131F">
        <w:rPr>
          <w:rFonts w:ascii="Cambria" w:hAnsi="Cambria"/>
          <w:color w:val="00B050"/>
          <w:sz w:val="24"/>
          <w:szCs w:val="24"/>
        </w:rPr>
        <w:t xml:space="preserve">tal period </w:t>
      </w:r>
      <w:r w:rsidR="000C4090">
        <w:rPr>
          <w:rFonts w:ascii="Cambria" w:hAnsi="Cambria"/>
          <w:color w:val="00B050"/>
          <w:sz w:val="24"/>
          <w:szCs w:val="24"/>
        </w:rPr>
        <w:t xml:space="preserve">of service </w:t>
      </w:r>
      <w:r w:rsidR="00BD131F">
        <w:rPr>
          <w:rFonts w:ascii="Cambria" w:hAnsi="Cambria"/>
          <w:color w:val="00B050"/>
          <w:sz w:val="24"/>
          <w:szCs w:val="24"/>
        </w:rPr>
        <w:t xml:space="preserve">shall not exceed three years. </w:t>
      </w:r>
    </w:p>
    <w:p w14:paraId="33CDCB1D" w14:textId="14259265" w:rsidR="009918F9" w:rsidRDefault="00F32BB2" w:rsidP="00AD0FDB">
      <w:pPr>
        <w:tabs>
          <w:tab w:val="left" w:pos="2880"/>
          <w:tab w:val="left" w:pos="9180"/>
        </w:tabs>
        <w:spacing w:before="15" w:line="276" w:lineRule="auto"/>
        <w:rPr>
          <w:rFonts w:ascii="Cambria" w:eastAsia="Calibri" w:hAnsi="Cambria" w:cs="Calibri"/>
          <w:sz w:val="24"/>
          <w:szCs w:val="24"/>
        </w:rPr>
      </w:pPr>
      <w:r w:rsidRPr="00B122E5">
        <w:rPr>
          <w:rFonts w:ascii="Cambria" w:hAnsi="Cambria"/>
          <w:color w:val="00B050"/>
          <w:sz w:val="24"/>
          <w:szCs w:val="24"/>
        </w:rPr>
        <w:t xml:space="preserve">  </w:t>
      </w:r>
    </w:p>
    <w:p w14:paraId="39EBB6EA" w14:textId="725EE2BB" w:rsidR="00270AF4" w:rsidRDefault="00270AF4" w:rsidP="00AD0FDB">
      <w:pPr>
        <w:tabs>
          <w:tab w:val="left" w:pos="9180"/>
        </w:tabs>
        <w:spacing w:line="276" w:lineRule="auto"/>
        <w:rPr>
          <w:rFonts w:ascii="Cambria" w:eastAsia="Calibri" w:hAnsi="Cambria" w:cs="Calibri"/>
          <w:b/>
          <w:bCs/>
          <w:sz w:val="24"/>
          <w:szCs w:val="24"/>
        </w:rPr>
      </w:pPr>
      <w:r w:rsidRPr="00B122E5">
        <w:rPr>
          <w:rFonts w:ascii="Cambria" w:eastAsia="Calibri" w:hAnsi="Cambria" w:cs="Calibri"/>
          <w:b/>
          <w:bCs/>
          <w:sz w:val="24"/>
          <w:szCs w:val="24"/>
        </w:rPr>
        <w:t>Amendment to Article 3.2:</w:t>
      </w:r>
    </w:p>
    <w:p w14:paraId="3D2D25FB" w14:textId="77777777" w:rsidR="00DE2AAF" w:rsidRPr="00B122E5" w:rsidRDefault="00DE2AAF" w:rsidP="00AD0FDB">
      <w:pPr>
        <w:tabs>
          <w:tab w:val="left" w:pos="9180"/>
        </w:tabs>
        <w:spacing w:line="276" w:lineRule="auto"/>
        <w:rPr>
          <w:rFonts w:ascii="Cambria" w:eastAsia="Calibri" w:hAnsi="Cambria" w:cs="Calibri"/>
          <w:b/>
          <w:bCs/>
          <w:sz w:val="24"/>
          <w:szCs w:val="24"/>
        </w:rPr>
      </w:pPr>
    </w:p>
    <w:p w14:paraId="3B94EB40" w14:textId="006DF9DF" w:rsidR="00270AF4" w:rsidRPr="00B122E5" w:rsidRDefault="00270AF4" w:rsidP="00AD0FDB">
      <w:pPr>
        <w:tabs>
          <w:tab w:val="left" w:pos="2160"/>
          <w:tab w:val="left" w:pos="9180"/>
        </w:tabs>
        <w:spacing w:line="276" w:lineRule="auto"/>
        <w:rPr>
          <w:rFonts w:ascii="Cambria" w:eastAsia="Calibri" w:hAnsi="Cambria" w:cs="Calibri"/>
          <w:color w:val="00B050"/>
          <w:sz w:val="24"/>
          <w:szCs w:val="24"/>
        </w:rPr>
      </w:pPr>
      <w:r w:rsidRPr="00B122E5">
        <w:rPr>
          <w:rFonts w:ascii="Cambria" w:eastAsia="Calibri" w:hAnsi="Cambria" w:cs="Calibri"/>
          <w:color w:val="00B050"/>
          <w:sz w:val="24"/>
          <w:szCs w:val="24"/>
        </w:rPr>
        <w:t>g.</w:t>
      </w:r>
      <w:r w:rsidR="003521B5">
        <w:rPr>
          <w:rFonts w:ascii="Cambria" w:eastAsia="Calibri" w:hAnsi="Cambria" w:cs="Calibri"/>
          <w:color w:val="00B050"/>
          <w:sz w:val="24"/>
          <w:szCs w:val="24"/>
        </w:rPr>
        <w:t xml:space="preserve">    </w:t>
      </w:r>
      <w:r w:rsidRPr="00B122E5">
        <w:rPr>
          <w:rFonts w:ascii="Cambria" w:eastAsia="Calibri" w:hAnsi="Cambria" w:cs="Calibri"/>
          <w:color w:val="00B050"/>
          <w:sz w:val="24"/>
          <w:szCs w:val="24"/>
        </w:rPr>
        <w:t>Post-Doctoral Fellows</w:t>
      </w:r>
    </w:p>
    <w:p w14:paraId="0D52F9A7" w14:textId="434044DF" w:rsidR="00270AF4" w:rsidRPr="00B122E5" w:rsidRDefault="00270AF4" w:rsidP="00270AF4">
      <w:pPr>
        <w:tabs>
          <w:tab w:val="left" w:pos="2160"/>
          <w:tab w:val="left" w:pos="9180"/>
        </w:tabs>
        <w:spacing w:line="276" w:lineRule="auto"/>
        <w:ind w:left="1440"/>
        <w:rPr>
          <w:rFonts w:ascii="Cambria" w:eastAsia="Calibri" w:hAnsi="Cambria" w:cs="Calibri"/>
          <w:color w:val="00B050"/>
          <w:sz w:val="24"/>
          <w:szCs w:val="24"/>
        </w:rPr>
      </w:pPr>
    </w:p>
    <w:p w14:paraId="139F0A9D" w14:textId="161796F0" w:rsidR="00270AF4" w:rsidRPr="00B122E5" w:rsidRDefault="00D5413B" w:rsidP="00AD0FDB">
      <w:pPr>
        <w:tabs>
          <w:tab w:val="left" w:pos="1440"/>
          <w:tab w:val="left" w:pos="9180"/>
        </w:tabs>
        <w:spacing w:line="276" w:lineRule="auto"/>
        <w:rPr>
          <w:rFonts w:ascii="Cambria" w:eastAsia="Calibri" w:hAnsi="Cambria" w:cs="Calibri"/>
          <w:color w:val="00B050"/>
          <w:sz w:val="24"/>
          <w:szCs w:val="24"/>
        </w:rPr>
      </w:pPr>
      <w:r>
        <w:rPr>
          <w:rFonts w:ascii="Cambria" w:eastAsia="Calibri" w:hAnsi="Cambria" w:cs="Calibri"/>
          <w:color w:val="00B050"/>
          <w:sz w:val="24"/>
          <w:szCs w:val="24"/>
        </w:rPr>
        <w:tab/>
      </w:r>
      <w:r w:rsidR="003202E0" w:rsidRPr="00B122E5">
        <w:rPr>
          <w:rFonts w:ascii="Cambria" w:eastAsia="Calibri" w:hAnsi="Cambria" w:cs="Calibri"/>
          <w:color w:val="00B050"/>
          <w:sz w:val="24"/>
          <w:szCs w:val="24"/>
        </w:rPr>
        <w:t>P</w:t>
      </w:r>
      <w:r w:rsidR="00270AF4" w:rsidRPr="00B122E5">
        <w:rPr>
          <w:rFonts w:ascii="Cambria" w:eastAsia="Calibri" w:hAnsi="Cambria" w:cs="Calibri"/>
          <w:color w:val="00B050"/>
          <w:sz w:val="24"/>
          <w:szCs w:val="24"/>
        </w:rPr>
        <w:t>ost-Doctoral Fellows shall have the rank of Post-Doctoral Fellow.</w:t>
      </w:r>
    </w:p>
    <w:p w14:paraId="5EE9FF39" w14:textId="77777777" w:rsidR="00270AF4" w:rsidRDefault="00270AF4" w:rsidP="00A97D59">
      <w:pPr>
        <w:tabs>
          <w:tab w:val="left" w:pos="9180"/>
        </w:tabs>
        <w:spacing w:line="276" w:lineRule="auto"/>
        <w:ind w:left="1440"/>
        <w:rPr>
          <w:rFonts w:ascii="Cambria" w:eastAsia="Calibri" w:hAnsi="Cambria" w:cs="Calibri"/>
          <w:sz w:val="24"/>
          <w:szCs w:val="24"/>
        </w:rPr>
      </w:pPr>
    </w:p>
    <w:p w14:paraId="19635E9D" w14:textId="4363C945" w:rsidR="00A22763" w:rsidRPr="00270AF4" w:rsidRDefault="00A22763" w:rsidP="00AD0FDB">
      <w:pPr>
        <w:tabs>
          <w:tab w:val="left" w:pos="9180"/>
        </w:tabs>
        <w:spacing w:line="276" w:lineRule="auto"/>
        <w:rPr>
          <w:rFonts w:ascii="Cambria" w:eastAsia="Calibri" w:hAnsi="Cambria" w:cs="Calibri"/>
          <w:b/>
          <w:bCs/>
          <w:sz w:val="24"/>
          <w:szCs w:val="24"/>
        </w:rPr>
      </w:pPr>
      <w:r w:rsidRPr="00270AF4">
        <w:rPr>
          <w:rFonts w:ascii="Cambria" w:eastAsia="Calibri" w:hAnsi="Cambria" w:cs="Calibri"/>
          <w:b/>
          <w:bCs/>
          <w:sz w:val="24"/>
          <w:szCs w:val="24"/>
        </w:rPr>
        <w:t>Amendment to first sentence of Article 3.3.b.1:</w:t>
      </w:r>
    </w:p>
    <w:p w14:paraId="662D34B4" w14:textId="77777777" w:rsidR="00270AF4" w:rsidRDefault="00270AF4" w:rsidP="00A97D59">
      <w:pPr>
        <w:tabs>
          <w:tab w:val="left" w:pos="9180"/>
        </w:tabs>
        <w:spacing w:line="276" w:lineRule="auto"/>
        <w:ind w:left="1440"/>
        <w:rPr>
          <w:rFonts w:ascii="Cambria" w:eastAsia="Calibri" w:hAnsi="Cambria" w:cs="Calibri"/>
          <w:sz w:val="24"/>
          <w:szCs w:val="24"/>
        </w:rPr>
      </w:pPr>
    </w:p>
    <w:p w14:paraId="04D43B32" w14:textId="6CB5CBB9" w:rsidR="00A22763" w:rsidRDefault="00A22763" w:rsidP="00A97D59">
      <w:pPr>
        <w:tabs>
          <w:tab w:val="left" w:pos="9180"/>
        </w:tabs>
        <w:spacing w:line="276" w:lineRule="auto"/>
        <w:ind w:left="1440"/>
        <w:rPr>
          <w:rFonts w:ascii="Cambria" w:eastAsia="Calibri" w:hAnsi="Cambria" w:cs="Calibri"/>
          <w:sz w:val="24"/>
          <w:szCs w:val="24"/>
        </w:rPr>
      </w:pPr>
      <w:r>
        <w:rPr>
          <w:rFonts w:ascii="Cambria" w:eastAsia="Calibri" w:hAnsi="Cambria" w:cs="Calibri"/>
          <w:sz w:val="24"/>
          <w:szCs w:val="24"/>
        </w:rPr>
        <w:t xml:space="preserve">The full-time Faculty of the Department may make a recommendation to the Dean of the College for the creation of a Faculty Associate, Lecturer, </w:t>
      </w:r>
      <w:r w:rsidRPr="00B122E5">
        <w:rPr>
          <w:rFonts w:ascii="Cambria" w:eastAsia="Calibri" w:hAnsi="Cambria" w:cs="Calibri"/>
          <w:color w:val="00B050"/>
          <w:sz w:val="24"/>
          <w:szCs w:val="24"/>
        </w:rPr>
        <w:t>Post-Doctoral Fellow,</w:t>
      </w:r>
      <w:r>
        <w:rPr>
          <w:rFonts w:ascii="Cambria" w:eastAsia="Calibri" w:hAnsi="Cambria" w:cs="Calibri"/>
          <w:sz w:val="24"/>
          <w:szCs w:val="24"/>
        </w:rPr>
        <w:t xml:space="preserve"> Contract, or Clinical Faculty position</w:t>
      </w:r>
    </w:p>
    <w:p w14:paraId="1555762A" w14:textId="0AA2E9C6" w:rsidR="00270AF4" w:rsidRDefault="00270AF4" w:rsidP="00A97D59">
      <w:pPr>
        <w:tabs>
          <w:tab w:val="left" w:pos="9180"/>
        </w:tabs>
        <w:spacing w:line="276" w:lineRule="auto"/>
        <w:ind w:left="1440"/>
        <w:rPr>
          <w:rFonts w:ascii="Cambria" w:eastAsia="Calibri" w:hAnsi="Cambria" w:cs="Calibri"/>
          <w:sz w:val="24"/>
          <w:szCs w:val="24"/>
        </w:rPr>
      </w:pPr>
    </w:p>
    <w:p w14:paraId="26EF1378" w14:textId="6E804AAD" w:rsidR="00270AF4" w:rsidRPr="00270AF4" w:rsidRDefault="00270AF4" w:rsidP="00AD0FDB">
      <w:pPr>
        <w:tabs>
          <w:tab w:val="left" w:pos="9180"/>
        </w:tabs>
        <w:spacing w:line="276" w:lineRule="auto"/>
        <w:rPr>
          <w:rFonts w:ascii="Cambria" w:eastAsia="Calibri" w:hAnsi="Cambria" w:cs="Calibri"/>
          <w:b/>
          <w:bCs/>
          <w:sz w:val="24"/>
          <w:szCs w:val="24"/>
        </w:rPr>
      </w:pPr>
      <w:r w:rsidRPr="00270AF4">
        <w:rPr>
          <w:rFonts w:ascii="Cambria" w:eastAsia="Calibri" w:hAnsi="Cambria" w:cs="Calibri"/>
          <w:b/>
          <w:bCs/>
          <w:sz w:val="24"/>
          <w:szCs w:val="24"/>
        </w:rPr>
        <w:t>Amendment to last sentence of Article 3.3.b.2:</w:t>
      </w:r>
    </w:p>
    <w:p w14:paraId="4ABDD220" w14:textId="6F32E92B" w:rsidR="00270AF4" w:rsidRDefault="00270AF4" w:rsidP="00A97D59">
      <w:pPr>
        <w:tabs>
          <w:tab w:val="left" w:pos="9180"/>
        </w:tabs>
        <w:spacing w:line="276" w:lineRule="auto"/>
        <w:ind w:left="1440"/>
        <w:rPr>
          <w:rFonts w:ascii="Cambria" w:eastAsia="Calibri" w:hAnsi="Cambria" w:cs="Calibri"/>
          <w:sz w:val="24"/>
          <w:szCs w:val="24"/>
        </w:rPr>
      </w:pPr>
    </w:p>
    <w:p w14:paraId="0F2804C5" w14:textId="0F44766D" w:rsidR="00270AF4" w:rsidRDefault="00270AF4" w:rsidP="00A97D59">
      <w:pPr>
        <w:tabs>
          <w:tab w:val="left" w:pos="9180"/>
        </w:tabs>
        <w:spacing w:line="276" w:lineRule="auto"/>
        <w:ind w:left="1440"/>
        <w:rPr>
          <w:rFonts w:ascii="Cambria" w:eastAsia="Calibri" w:hAnsi="Cambria" w:cs="Calibri"/>
          <w:sz w:val="24"/>
          <w:szCs w:val="24"/>
        </w:rPr>
      </w:pPr>
      <w:r>
        <w:rPr>
          <w:rFonts w:ascii="Cambria" w:eastAsia="Calibri" w:hAnsi="Cambria" w:cs="Calibri"/>
          <w:sz w:val="24"/>
          <w:szCs w:val="24"/>
        </w:rPr>
        <w:t xml:space="preserve">For purposes of this section, counts of full-time faculty shall not include Contract, Visiting, Clinical, and Adjunct Faculty, </w:t>
      </w:r>
      <w:r w:rsidRPr="00B122E5">
        <w:rPr>
          <w:rFonts w:ascii="Cambria" w:eastAsia="Calibri" w:hAnsi="Cambria" w:cs="Calibri"/>
          <w:color w:val="00B050"/>
          <w:sz w:val="24"/>
          <w:szCs w:val="24"/>
        </w:rPr>
        <w:t>or Post-Doctoral Fellows.</w:t>
      </w:r>
    </w:p>
    <w:p w14:paraId="0A4E8EAF" w14:textId="6F4BD905" w:rsidR="009918F9" w:rsidRDefault="009918F9" w:rsidP="00A97D59">
      <w:pPr>
        <w:tabs>
          <w:tab w:val="left" w:pos="9180"/>
        </w:tabs>
        <w:spacing w:line="276" w:lineRule="auto"/>
        <w:ind w:left="1440"/>
        <w:rPr>
          <w:rFonts w:ascii="Cambria" w:eastAsia="Calibri" w:hAnsi="Cambria" w:cs="Calibri"/>
          <w:sz w:val="24"/>
          <w:szCs w:val="24"/>
        </w:rPr>
      </w:pPr>
    </w:p>
    <w:p w14:paraId="4BD189C7" w14:textId="64C57E32" w:rsidR="00270AF4" w:rsidRDefault="00270AF4" w:rsidP="00AD0FDB">
      <w:pPr>
        <w:tabs>
          <w:tab w:val="left" w:pos="9180"/>
        </w:tabs>
        <w:spacing w:line="276" w:lineRule="auto"/>
        <w:rPr>
          <w:rFonts w:ascii="Cambria" w:eastAsia="Calibri" w:hAnsi="Cambria" w:cs="Calibri"/>
          <w:sz w:val="24"/>
          <w:szCs w:val="24"/>
        </w:rPr>
      </w:pPr>
      <w:r>
        <w:rPr>
          <w:rFonts w:ascii="Cambria" w:eastAsia="Calibri" w:hAnsi="Cambria" w:cs="Calibri"/>
          <w:b/>
          <w:bCs/>
          <w:sz w:val="24"/>
          <w:szCs w:val="24"/>
        </w:rPr>
        <w:t>Amendment to Article 3.6.a.2:</w:t>
      </w:r>
    </w:p>
    <w:p w14:paraId="07872367" w14:textId="6665D4B9" w:rsidR="00270AF4" w:rsidRDefault="00270AF4" w:rsidP="00A97D59">
      <w:pPr>
        <w:tabs>
          <w:tab w:val="left" w:pos="9180"/>
        </w:tabs>
        <w:spacing w:line="276" w:lineRule="auto"/>
        <w:ind w:left="1440"/>
        <w:rPr>
          <w:rFonts w:ascii="Cambria" w:eastAsia="Calibri" w:hAnsi="Cambria" w:cs="Calibri"/>
          <w:sz w:val="24"/>
          <w:szCs w:val="24"/>
        </w:rPr>
      </w:pPr>
    </w:p>
    <w:p w14:paraId="1BC70A24" w14:textId="3E04D4AB" w:rsidR="00270AF4" w:rsidRDefault="00270AF4" w:rsidP="00AD0FDB">
      <w:pPr>
        <w:pStyle w:val="ListParagraph"/>
        <w:numPr>
          <w:ilvl w:val="0"/>
          <w:numId w:val="6"/>
        </w:numPr>
        <w:tabs>
          <w:tab w:val="left" w:pos="1440"/>
          <w:tab w:val="left" w:pos="9180"/>
        </w:tabs>
        <w:spacing w:line="276" w:lineRule="auto"/>
        <w:ind w:left="1440"/>
        <w:rPr>
          <w:rFonts w:ascii="Cambria" w:eastAsia="Calibri" w:hAnsi="Cambria" w:cs="Calibri"/>
          <w:sz w:val="24"/>
          <w:szCs w:val="24"/>
        </w:rPr>
      </w:pPr>
      <w:r>
        <w:rPr>
          <w:rFonts w:ascii="Cambria" w:eastAsia="Calibri" w:hAnsi="Cambria" w:cs="Calibri"/>
          <w:sz w:val="24"/>
          <w:szCs w:val="24"/>
        </w:rPr>
        <w:t xml:space="preserve">Contract Faculty </w:t>
      </w:r>
      <w:r w:rsidRPr="00B122E5">
        <w:rPr>
          <w:rFonts w:ascii="Cambria" w:eastAsia="Calibri" w:hAnsi="Cambria" w:cs="Calibri"/>
          <w:color w:val="00B050"/>
          <w:sz w:val="24"/>
          <w:szCs w:val="24"/>
        </w:rPr>
        <w:t>and Post-Doctoral Fellows</w:t>
      </w:r>
    </w:p>
    <w:p w14:paraId="77FBE97C" w14:textId="1ECCC5CB" w:rsidR="00270AF4" w:rsidRDefault="00270AF4" w:rsidP="00270AF4">
      <w:pPr>
        <w:tabs>
          <w:tab w:val="left" w:pos="2160"/>
          <w:tab w:val="left" w:pos="9180"/>
        </w:tabs>
        <w:spacing w:line="276" w:lineRule="auto"/>
        <w:ind w:left="1440"/>
        <w:rPr>
          <w:rFonts w:ascii="Cambria" w:eastAsia="Calibri" w:hAnsi="Cambria" w:cs="Calibri"/>
          <w:sz w:val="24"/>
          <w:szCs w:val="24"/>
        </w:rPr>
      </w:pPr>
    </w:p>
    <w:p w14:paraId="2F7A39F0" w14:textId="71BDA10B" w:rsidR="00656604" w:rsidRDefault="00270AF4" w:rsidP="00656604">
      <w:pPr>
        <w:tabs>
          <w:tab w:val="left" w:pos="2160"/>
          <w:tab w:val="left" w:pos="9180"/>
        </w:tabs>
        <w:spacing w:line="276" w:lineRule="auto"/>
        <w:ind w:left="1440"/>
        <w:rPr>
          <w:rFonts w:ascii="Cambria" w:eastAsia="Calibri" w:hAnsi="Cambria" w:cs="Calibri"/>
          <w:sz w:val="24"/>
          <w:szCs w:val="24"/>
        </w:rPr>
      </w:pPr>
      <w:r>
        <w:rPr>
          <w:rFonts w:ascii="Cambria" w:eastAsia="Calibri" w:hAnsi="Cambria" w:cs="Calibri"/>
          <w:sz w:val="24"/>
          <w:szCs w:val="24"/>
        </w:rPr>
        <w:t xml:space="preserve">In the case of Contract Faculty members </w:t>
      </w:r>
      <w:r w:rsidRPr="00B122E5">
        <w:rPr>
          <w:rFonts w:ascii="Cambria" w:eastAsia="Calibri" w:hAnsi="Cambria" w:cs="Calibri"/>
          <w:color w:val="00B050"/>
          <w:sz w:val="24"/>
          <w:szCs w:val="24"/>
        </w:rPr>
        <w:t>and post-Doctoral Fellows</w:t>
      </w:r>
      <w:r>
        <w:rPr>
          <w:rFonts w:ascii="Cambria" w:eastAsia="Calibri" w:hAnsi="Cambria" w:cs="Calibri"/>
          <w:sz w:val="24"/>
          <w:szCs w:val="24"/>
        </w:rPr>
        <w:t>, a review and vote of the Tenure-Track and Tenured Faculty members in the Department, or College in the absence of Departments, is necessary to approve renewals of contracts.</w:t>
      </w:r>
    </w:p>
    <w:p w14:paraId="12D8175D" w14:textId="070501B6" w:rsidR="00656604" w:rsidRDefault="00656604" w:rsidP="00656604">
      <w:pPr>
        <w:tabs>
          <w:tab w:val="left" w:pos="2160"/>
          <w:tab w:val="left" w:pos="9180"/>
        </w:tabs>
        <w:spacing w:line="276" w:lineRule="auto"/>
        <w:ind w:left="1440"/>
        <w:rPr>
          <w:rFonts w:ascii="Cambria" w:eastAsia="Calibri" w:hAnsi="Cambria" w:cs="Calibri"/>
          <w:sz w:val="24"/>
          <w:szCs w:val="24"/>
        </w:rPr>
      </w:pPr>
    </w:p>
    <w:p w14:paraId="661F5C10" w14:textId="63347308" w:rsidR="00656604" w:rsidRPr="00B122E5" w:rsidRDefault="00656604" w:rsidP="00AD0FDB">
      <w:pPr>
        <w:tabs>
          <w:tab w:val="left" w:pos="2160"/>
          <w:tab w:val="left" w:pos="9180"/>
        </w:tabs>
        <w:spacing w:line="276" w:lineRule="auto"/>
        <w:rPr>
          <w:rFonts w:ascii="Cambria" w:eastAsia="Calibri" w:hAnsi="Cambria" w:cs="Calibri"/>
          <w:b/>
          <w:bCs/>
          <w:sz w:val="24"/>
          <w:szCs w:val="24"/>
        </w:rPr>
      </w:pPr>
      <w:r w:rsidRPr="00B122E5">
        <w:rPr>
          <w:rFonts w:ascii="Cambria" w:eastAsia="Calibri" w:hAnsi="Cambria" w:cs="Calibri"/>
          <w:b/>
          <w:bCs/>
          <w:sz w:val="24"/>
          <w:szCs w:val="24"/>
        </w:rPr>
        <w:t xml:space="preserve">Amendment to Article 3.6.d: </w:t>
      </w:r>
    </w:p>
    <w:p w14:paraId="67493CA2" w14:textId="6E2DE6D9" w:rsidR="00656604" w:rsidRDefault="00656604" w:rsidP="00656604">
      <w:pPr>
        <w:tabs>
          <w:tab w:val="left" w:pos="2160"/>
          <w:tab w:val="left" w:pos="9180"/>
        </w:tabs>
        <w:spacing w:line="276" w:lineRule="auto"/>
        <w:ind w:left="1440"/>
        <w:rPr>
          <w:rFonts w:ascii="Cambria" w:eastAsia="Calibri" w:hAnsi="Cambria" w:cs="Calibri"/>
          <w:sz w:val="24"/>
          <w:szCs w:val="24"/>
        </w:rPr>
      </w:pPr>
    </w:p>
    <w:p w14:paraId="71FE1714" w14:textId="68F2F903" w:rsidR="00656604" w:rsidRPr="00B122E5" w:rsidRDefault="00656604" w:rsidP="00AD0FDB">
      <w:pPr>
        <w:tabs>
          <w:tab w:val="left" w:pos="2160"/>
          <w:tab w:val="left" w:pos="9180"/>
        </w:tabs>
        <w:spacing w:line="276" w:lineRule="auto"/>
        <w:ind w:left="1440" w:hanging="720"/>
        <w:rPr>
          <w:rFonts w:ascii="Cambria" w:eastAsia="Calibri" w:hAnsi="Cambria" w:cs="Calibri"/>
          <w:color w:val="00B050"/>
          <w:sz w:val="24"/>
          <w:szCs w:val="24"/>
        </w:rPr>
      </w:pPr>
      <w:r w:rsidRPr="00B122E5">
        <w:rPr>
          <w:rFonts w:ascii="Cambria" w:eastAsia="Calibri" w:hAnsi="Cambria" w:cs="Calibri"/>
          <w:color w:val="00B050"/>
          <w:sz w:val="24"/>
          <w:szCs w:val="24"/>
        </w:rPr>
        <w:t>4.</w:t>
      </w:r>
      <w:r w:rsidRPr="00B122E5">
        <w:rPr>
          <w:rFonts w:ascii="Cambria" w:eastAsia="Calibri" w:hAnsi="Cambria" w:cs="Calibri"/>
          <w:color w:val="00B050"/>
          <w:sz w:val="24"/>
          <w:szCs w:val="24"/>
        </w:rPr>
        <w:tab/>
        <w:t>Post-Doctoral Fellows</w:t>
      </w:r>
    </w:p>
    <w:p w14:paraId="60163AFA" w14:textId="4FE167C1" w:rsidR="00656604" w:rsidRPr="00B122E5" w:rsidRDefault="00656604" w:rsidP="00656604">
      <w:pPr>
        <w:tabs>
          <w:tab w:val="left" w:pos="2160"/>
          <w:tab w:val="left" w:pos="9180"/>
        </w:tabs>
        <w:spacing w:line="276" w:lineRule="auto"/>
        <w:ind w:left="1440"/>
        <w:rPr>
          <w:rFonts w:ascii="Cambria" w:eastAsia="Calibri" w:hAnsi="Cambria" w:cs="Calibri"/>
          <w:color w:val="00B050"/>
          <w:sz w:val="24"/>
          <w:szCs w:val="24"/>
        </w:rPr>
      </w:pPr>
    </w:p>
    <w:p w14:paraId="15563646" w14:textId="2EEB3B70" w:rsidR="00656604" w:rsidRPr="00B122E5" w:rsidRDefault="00656604" w:rsidP="00656604">
      <w:pPr>
        <w:tabs>
          <w:tab w:val="left" w:pos="2160"/>
          <w:tab w:val="left" w:pos="9180"/>
        </w:tabs>
        <w:spacing w:line="276" w:lineRule="auto"/>
        <w:ind w:left="1440"/>
        <w:rPr>
          <w:rFonts w:ascii="Cambria" w:eastAsia="Calibri" w:hAnsi="Cambria" w:cs="Calibri"/>
          <w:color w:val="00B050"/>
          <w:sz w:val="24"/>
          <w:szCs w:val="24"/>
        </w:rPr>
      </w:pPr>
      <w:r w:rsidRPr="00B122E5">
        <w:rPr>
          <w:rFonts w:ascii="Cambria" w:eastAsia="Calibri" w:hAnsi="Cambria" w:cs="Calibri"/>
          <w:color w:val="00B050"/>
          <w:sz w:val="24"/>
          <w:szCs w:val="24"/>
        </w:rPr>
        <w:t xml:space="preserve">Post-Doctoral Fellows are appointed for one-year renewable terms, with the total period </w:t>
      </w:r>
      <w:r w:rsidR="00FB6591" w:rsidRPr="00B122E5">
        <w:rPr>
          <w:rFonts w:ascii="Cambria" w:eastAsia="Calibri" w:hAnsi="Cambria" w:cs="Calibri"/>
          <w:color w:val="00B050"/>
          <w:sz w:val="24"/>
          <w:szCs w:val="24"/>
        </w:rPr>
        <w:t xml:space="preserve">of service </w:t>
      </w:r>
      <w:r w:rsidRPr="00B122E5">
        <w:rPr>
          <w:rFonts w:ascii="Cambria" w:eastAsia="Calibri" w:hAnsi="Cambria" w:cs="Calibri"/>
          <w:color w:val="00B050"/>
          <w:sz w:val="24"/>
          <w:szCs w:val="24"/>
        </w:rPr>
        <w:t xml:space="preserve">not to exceed three years. Reappointment of Post-Doctoral Fellows requires the approval of the Department, the Dean, and the </w:t>
      </w:r>
      <w:proofErr w:type="gramStart"/>
      <w:r w:rsidRPr="00B122E5">
        <w:rPr>
          <w:rFonts w:ascii="Cambria" w:eastAsia="Calibri" w:hAnsi="Cambria" w:cs="Calibri"/>
          <w:color w:val="00B050"/>
          <w:sz w:val="24"/>
          <w:szCs w:val="24"/>
        </w:rPr>
        <w:t>Provost</w:t>
      </w:r>
      <w:proofErr w:type="gramEnd"/>
      <w:r w:rsidRPr="00B122E5">
        <w:rPr>
          <w:rFonts w:ascii="Cambria" w:eastAsia="Calibri" w:hAnsi="Cambria" w:cs="Calibri"/>
          <w:color w:val="00B050"/>
          <w:sz w:val="24"/>
          <w:szCs w:val="24"/>
        </w:rPr>
        <w:t>. The University shall provide Post-Doctoral Fellows written notice no later than April 15 of the Academic Year as to whether they will be reappointed. In the absence of such written notice, the contract shall automatically expire.</w:t>
      </w:r>
    </w:p>
    <w:p w14:paraId="6BD08A33" w14:textId="6B5D70CB" w:rsidR="00656604" w:rsidRPr="00656604" w:rsidRDefault="00656604" w:rsidP="00656604">
      <w:pPr>
        <w:tabs>
          <w:tab w:val="left" w:pos="2160"/>
          <w:tab w:val="left" w:pos="9180"/>
        </w:tabs>
        <w:spacing w:line="276" w:lineRule="auto"/>
        <w:ind w:left="1440"/>
        <w:rPr>
          <w:rFonts w:ascii="Cambria" w:eastAsia="Calibri" w:hAnsi="Cambria" w:cs="Calibri"/>
          <w:sz w:val="24"/>
          <w:szCs w:val="24"/>
        </w:rPr>
      </w:pPr>
    </w:p>
    <w:p w14:paraId="5846F884" w14:textId="4136CE1E" w:rsidR="00270AF4" w:rsidRPr="00B122E5" w:rsidRDefault="00656604" w:rsidP="00AD0FDB">
      <w:pPr>
        <w:tabs>
          <w:tab w:val="left" w:pos="9180"/>
        </w:tabs>
        <w:spacing w:line="276" w:lineRule="auto"/>
        <w:rPr>
          <w:rFonts w:ascii="Cambria" w:eastAsia="Calibri" w:hAnsi="Cambria" w:cs="Calibri"/>
          <w:b/>
          <w:bCs/>
          <w:sz w:val="24"/>
          <w:szCs w:val="24"/>
        </w:rPr>
      </w:pPr>
      <w:r w:rsidRPr="00B122E5">
        <w:rPr>
          <w:rFonts w:ascii="Cambria" w:eastAsia="Calibri" w:hAnsi="Cambria" w:cs="Calibri"/>
          <w:b/>
          <w:bCs/>
          <w:sz w:val="24"/>
          <w:szCs w:val="24"/>
        </w:rPr>
        <w:t>Amendment to Article 4:</w:t>
      </w:r>
    </w:p>
    <w:p w14:paraId="6E8E3913" w14:textId="6130887C" w:rsidR="00656604" w:rsidRDefault="00656604" w:rsidP="00A97D59">
      <w:pPr>
        <w:tabs>
          <w:tab w:val="left" w:pos="9180"/>
        </w:tabs>
        <w:spacing w:line="276" w:lineRule="auto"/>
        <w:ind w:left="1440"/>
        <w:rPr>
          <w:rFonts w:ascii="Cambria" w:eastAsia="Calibri" w:hAnsi="Cambria" w:cs="Calibri"/>
          <w:sz w:val="24"/>
          <w:szCs w:val="24"/>
        </w:rPr>
      </w:pPr>
    </w:p>
    <w:p w14:paraId="1DF0DD2F" w14:textId="5EAC577E" w:rsidR="00656604" w:rsidRPr="00B122E5" w:rsidRDefault="00656604" w:rsidP="00AD0FDB">
      <w:pPr>
        <w:tabs>
          <w:tab w:val="left" w:pos="2160"/>
          <w:tab w:val="left" w:pos="9180"/>
        </w:tabs>
        <w:spacing w:line="276" w:lineRule="auto"/>
        <w:ind w:left="1440" w:hanging="720"/>
        <w:rPr>
          <w:rFonts w:ascii="Cambria" w:eastAsia="Calibri" w:hAnsi="Cambria" w:cs="Calibri"/>
          <w:color w:val="00B050"/>
          <w:sz w:val="24"/>
          <w:szCs w:val="24"/>
        </w:rPr>
      </w:pPr>
      <w:r w:rsidRPr="00B122E5">
        <w:rPr>
          <w:rFonts w:ascii="Cambria" w:eastAsia="Calibri" w:hAnsi="Cambria" w:cs="Calibri"/>
          <w:color w:val="00B050"/>
          <w:sz w:val="24"/>
          <w:szCs w:val="24"/>
        </w:rPr>
        <w:t>4.10</w:t>
      </w:r>
      <w:r w:rsidRPr="00B122E5">
        <w:rPr>
          <w:rFonts w:ascii="Cambria" w:eastAsia="Calibri" w:hAnsi="Cambria" w:cs="Calibri"/>
          <w:color w:val="00B050"/>
          <w:sz w:val="24"/>
          <w:szCs w:val="24"/>
        </w:rPr>
        <w:tab/>
        <w:t>General Criteria for Academic Ranks – Post-Doctoral Fellows</w:t>
      </w:r>
    </w:p>
    <w:p w14:paraId="14A56527" w14:textId="28263D9F" w:rsidR="00656604" w:rsidRPr="00B122E5" w:rsidRDefault="00656604" w:rsidP="00656604">
      <w:pPr>
        <w:tabs>
          <w:tab w:val="left" w:pos="2160"/>
          <w:tab w:val="left" w:pos="9180"/>
        </w:tabs>
        <w:spacing w:line="276" w:lineRule="auto"/>
        <w:ind w:left="1440"/>
        <w:rPr>
          <w:rFonts w:ascii="Cambria" w:eastAsia="Calibri" w:hAnsi="Cambria" w:cs="Calibri"/>
          <w:color w:val="00B050"/>
          <w:sz w:val="24"/>
          <w:szCs w:val="24"/>
        </w:rPr>
      </w:pPr>
    </w:p>
    <w:p w14:paraId="5E16B5EE" w14:textId="0567B4F7" w:rsidR="00656604" w:rsidRPr="00B122E5" w:rsidRDefault="00656604" w:rsidP="0094176B">
      <w:pPr>
        <w:tabs>
          <w:tab w:val="left" w:pos="2160"/>
          <w:tab w:val="left" w:pos="9180"/>
        </w:tabs>
        <w:spacing w:line="276" w:lineRule="auto"/>
        <w:ind w:left="1440"/>
        <w:rPr>
          <w:rFonts w:ascii="Cambria" w:eastAsia="Calibri" w:hAnsi="Cambria" w:cs="Calibri"/>
          <w:color w:val="00B050"/>
          <w:sz w:val="24"/>
          <w:szCs w:val="24"/>
        </w:rPr>
      </w:pPr>
      <w:r w:rsidRPr="00B122E5">
        <w:rPr>
          <w:rFonts w:ascii="Cambria" w:eastAsia="Calibri" w:hAnsi="Cambria" w:cs="Calibri"/>
          <w:color w:val="00B050"/>
          <w:sz w:val="24"/>
          <w:szCs w:val="24"/>
        </w:rPr>
        <w:lastRenderedPageBreak/>
        <w:t>A doctoral degree or the commonly accepted terminal degree for that discipline o</w:t>
      </w:r>
      <w:r w:rsidR="005E6388" w:rsidRPr="00B122E5">
        <w:rPr>
          <w:rFonts w:ascii="Cambria" w:eastAsia="Calibri" w:hAnsi="Cambria" w:cs="Calibri"/>
          <w:color w:val="00B050"/>
          <w:sz w:val="24"/>
          <w:szCs w:val="24"/>
        </w:rPr>
        <w:t>r</w:t>
      </w:r>
      <w:r w:rsidRPr="00B122E5">
        <w:rPr>
          <w:rFonts w:ascii="Cambria" w:eastAsia="Calibri" w:hAnsi="Cambria" w:cs="Calibri"/>
          <w:color w:val="00B050"/>
          <w:sz w:val="24"/>
          <w:szCs w:val="24"/>
        </w:rPr>
        <w:t xml:space="preserve"> field from an Accredited Institution. </w:t>
      </w:r>
      <w:r w:rsidR="00D35DF1" w:rsidRPr="00B122E5">
        <w:rPr>
          <w:rFonts w:ascii="Cambria" w:eastAsia="Calibri" w:hAnsi="Cambria" w:cs="Calibri"/>
          <w:color w:val="00B050"/>
          <w:sz w:val="24"/>
          <w:szCs w:val="24"/>
        </w:rPr>
        <w:t>The Post-Doctoral Fellow</w:t>
      </w:r>
      <w:r w:rsidR="00356142" w:rsidRPr="00B122E5">
        <w:rPr>
          <w:rFonts w:ascii="Cambria" w:eastAsia="Calibri" w:hAnsi="Cambria" w:cs="Calibri"/>
          <w:color w:val="00B050"/>
          <w:sz w:val="24"/>
          <w:szCs w:val="24"/>
        </w:rPr>
        <w:t>’s</w:t>
      </w:r>
      <w:r w:rsidR="00D35DF1" w:rsidRPr="00B122E5">
        <w:rPr>
          <w:rFonts w:ascii="Cambria" w:eastAsia="Calibri" w:hAnsi="Cambria" w:cs="Calibri"/>
          <w:color w:val="00B050"/>
          <w:sz w:val="24"/>
          <w:szCs w:val="24"/>
        </w:rPr>
        <w:t xml:space="preserve"> </w:t>
      </w:r>
      <w:r w:rsidR="00356142" w:rsidRPr="00B122E5">
        <w:rPr>
          <w:rFonts w:ascii="Cambria" w:eastAsia="Calibri" w:hAnsi="Cambria" w:cs="Calibri"/>
          <w:color w:val="00B050"/>
          <w:sz w:val="24"/>
          <w:szCs w:val="24"/>
        </w:rPr>
        <w:t xml:space="preserve">terminal degree </w:t>
      </w:r>
      <w:r w:rsidR="00D35DF1" w:rsidRPr="00B122E5">
        <w:rPr>
          <w:rFonts w:ascii="Cambria" w:eastAsia="Calibri" w:hAnsi="Cambria" w:cs="Calibri"/>
          <w:color w:val="00B050"/>
          <w:sz w:val="24"/>
          <w:szCs w:val="24"/>
        </w:rPr>
        <w:t xml:space="preserve">should </w:t>
      </w:r>
      <w:r w:rsidR="00356142" w:rsidRPr="00B122E5">
        <w:rPr>
          <w:rFonts w:ascii="Cambria" w:eastAsia="Calibri" w:hAnsi="Cambria" w:cs="Calibri"/>
          <w:color w:val="00B050"/>
          <w:sz w:val="24"/>
          <w:szCs w:val="24"/>
        </w:rPr>
        <w:t xml:space="preserve">ordinarily </w:t>
      </w:r>
      <w:r w:rsidR="00D35DF1" w:rsidRPr="00B122E5">
        <w:rPr>
          <w:rFonts w:ascii="Cambria" w:eastAsia="Calibri" w:hAnsi="Cambria" w:cs="Calibri"/>
          <w:color w:val="00B050"/>
          <w:sz w:val="24"/>
          <w:szCs w:val="24"/>
        </w:rPr>
        <w:t xml:space="preserve">have </w:t>
      </w:r>
      <w:r w:rsidR="00356142" w:rsidRPr="00B122E5">
        <w:rPr>
          <w:rFonts w:ascii="Cambria" w:eastAsia="Calibri" w:hAnsi="Cambria" w:cs="Calibri"/>
          <w:color w:val="00B050"/>
          <w:sz w:val="24"/>
          <w:szCs w:val="24"/>
        </w:rPr>
        <w:t xml:space="preserve">been </w:t>
      </w:r>
      <w:r w:rsidR="00D35DF1" w:rsidRPr="00B122E5">
        <w:rPr>
          <w:rFonts w:ascii="Cambria" w:eastAsia="Calibri" w:hAnsi="Cambria" w:cs="Calibri"/>
          <w:color w:val="00B050"/>
          <w:sz w:val="24"/>
          <w:szCs w:val="24"/>
        </w:rPr>
        <w:t xml:space="preserve">received within five years of the initial appointment.  </w:t>
      </w:r>
    </w:p>
    <w:p w14:paraId="0B2F6D40" w14:textId="77777777" w:rsidR="00270AF4" w:rsidRPr="00AD0FDB" w:rsidRDefault="00270AF4" w:rsidP="00A97D59">
      <w:pPr>
        <w:tabs>
          <w:tab w:val="left" w:pos="9180"/>
        </w:tabs>
        <w:spacing w:line="276" w:lineRule="auto"/>
        <w:ind w:left="1440"/>
        <w:rPr>
          <w:rFonts w:ascii="Cambria" w:eastAsia="Calibri" w:hAnsi="Cambria" w:cs="Calibri"/>
          <w:color w:val="00B050"/>
          <w:sz w:val="24"/>
          <w:szCs w:val="24"/>
        </w:rPr>
      </w:pPr>
    </w:p>
    <w:p w14:paraId="03B452F8" w14:textId="77777777" w:rsidR="001D3C1F" w:rsidRDefault="001D3C1F"/>
    <w:sectPr w:rsidR="001D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81A"/>
    <w:multiLevelType w:val="hybridMultilevel"/>
    <w:tmpl w:val="0088A116"/>
    <w:lvl w:ilvl="0" w:tplc="46EAE1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A23150"/>
    <w:multiLevelType w:val="hybridMultilevel"/>
    <w:tmpl w:val="FD8EFD7C"/>
    <w:lvl w:ilvl="0" w:tplc="59E4D820">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E51DCF"/>
    <w:multiLevelType w:val="hybridMultilevel"/>
    <w:tmpl w:val="F08CDA24"/>
    <w:lvl w:ilvl="0" w:tplc="B8088D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04DD7"/>
    <w:multiLevelType w:val="hybridMultilevel"/>
    <w:tmpl w:val="D2A6A6DE"/>
    <w:lvl w:ilvl="0" w:tplc="2A2EAF04">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EA1880"/>
    <w:multiLevelType w:val="hybridMultilevel"/>
    <w:tmpl w:val="FAC630E6"/>
    <w:lvl w:ilvl="0" w:tplc="3410A87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63701D6"/>
    <w:multiLevelType w:val="hybridMultilevel"/>
    <w:tmpl w:val="974A5D98"/>
    <w:lvl w:ilvl="0" w:tplc="0A7EF5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iel Knight">
    <w15:presenceInfo w15:providerId="AD" w15:userId="S::knightna@shu.edu::17af3a8f-5456-4910-927e-0a05c956f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59"/>
    <w:rsid w:val="00044C4E"/>
    <w:rsid w:val="000922B3"/>
    <w:rsid w:val="000A6752"/>
    <w:rsid w:val="000C4090"/>
    <w:rsid w:val="000C5D7F"/>
    <w:rsid w:val="00101C18"/>
    <w:rsid w:val="00141B5B"/>
    <w:rsid w:val="001D3C1F"/>
    <w:rsid w:val="001F0CFB"/>
    <w:rsid w:val="001F44D6"/>
    <w:rsid w:val="00212690"/>
    <w:rsid w:val="00270AF4"/>
    <w:rsid w:val="002C031B"/>
    <w:rsid w:val="002E166D"/>
    <w:rsid w:val="002F02A0"/>
    <w:rsid w:val="0031789F"/>
    <w:rsid w:val="003202E0"/>
    <w:rsid w:val="00325C46"/>
    <w:rsid w:val="003521B5"/>
    <w:rsid w:val="00356142"/>
    <w:rsid w:val="003913CD"/>
    <w:rsid w:val="003B6A67"/>
    <w:rsid w:val="003F2810"/>
    <w:rsid w:val="00446BE9"/>
    <w:rsid w:val="00504059"/>
    <w:rsid w:val="005B4236"/>
    <w:rsid w:val="005D0918"/>
    <w:rsid w:val="005E6388"/>
    <w:rsid w:val="00625CB7"/>
    <w:rsid w:val="00635435"/>
    <w:rsid w:val="00656604"/>
    <w:rsid w:val="00662A16"/>
    <w:rsid w:val="00682A8C"/>
    <w:rsid w:val="006B207E"/>
    <w:rsid w:val="006F332C"/>
    <w:rsid w:val="00856C04"/>
    <w:rsid w:val="008672FF"/>
    <w:rsid w:val="008709BD"/>
    <w:rsid w:val="00897B9E"/>
    <w:rsid w:val="008D615B"/>
    <w:rsid w:val="008E6A68"/>
    <w:rsid w:val="00920A99"/>
    <w:rsid w:val="0094176B"/>
    <w:rsid w:val="009918F9"/>
    <w:rsid w:val="00A22763"/>
    <w:rsid w:val="00A46BA7"/>
    <w:rsid w:val="00A7444F"/>
    <w:rsid w:val="00A94431"/>
    <w:rsid w:val="00A94829"/>
    <w:rsid w:val="00A97D59"/>
    <w:rsid w:val="00AD0FDB"/>
    <w:rsid w:val="00B003AB"/>
    <w:rsid w:val="00B122E5"/>
    <w:rsid w:val="00B4470B"/>
    <w:rsid w:val="00B511B7"/>
    <w:rsid w:val="00B672BB"/>
    <w:rsid w:val="00B72C5C"/>
    <w:rsid w:val="00B81156"/>
    <w:rsid w:val="00BA2EE0"/>
    <w:rsid w:val="00BD131F"/>
    <w:rsid w:val="00C04957"/>
    <w:rsid w:val="00C54A43"/>
    <w:rsid w:val="00C8644D"/>
    <w:rsid w:val="00CE52A6"/>
    <w:rsid w:val="00CE72AC"/>
    <w:rsid w:val="00D114DD"/>
    <w:rsid w:val="00D35DF1"/>
    <w:rsid w:val="00D37F96"/>
    <w:rsid w:val="00D5413B"/>
    <w:rsid w:val="00D670E9"/>
    <w:rsid w:val="00DA2C29"/>
    <w:rsid w:val="00DB636B"/>
    <w:rsid w:val="00DE2AAF"/>
    <w:rsid w:val="00E01CDE"/>
    <w:rsid w:val="00E05C08"/>
    <w:rsid w:val="00E221F5"/>
    <w:rsid w:val="00E47E11"/>
    <w:rsid w:val="00EF75F8"/>
    <w:rsid w:val="00F32BB2"/>
    <w:rsid w:val="00F45536"/>
    <w:rsid w:val="00F65F69"/>
    <w:rsid w:val="00FB6591"/>
    <w:rsid w:val="00FE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582"/>
  <w15:chartTrackingRefBased/>
  <w15:docId w15:val="{50B86BD5-E723-4C81-8186-CBDD3260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59"/>
    <w:pPr>
      <w:ind w:left="720"/>
      <w:contextualSpacing/>
    </w:pPr>
  </w:style>
  <w:style w:type="paragraph" w:styleId="BalloonText">
    <w:name w:val="Balloon Text"/>
    <w:basedOn w:val="Normal"/>
    <w:link w:val="BalloonTextChar"/>
    <w:uiPriority w:val="99"/>
    <w:semiHidden/>
    <w:unhideWhenUsed/>
    <w:rsid w:val="00991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F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644D"/>
    <w:rPr>
      <w:sz w:val="16"/>
      <w:szCs w:val="16"/>
    </w:rPr>
  </w:style>
  <w:style w:type="paragraph" w:styleId="CommentText">
    <w:name w:val="annotation text"/>
    <w:basedOn w:val="Normal"/>
    <w:link w:val="CommentTextChar"/>
    <w:uiPriority w:val="99"/>
    <w:semiHidden/>
    <w:unhideWhenUsed/>
    <w:rsid w:val="00C8644D"/>
  </w:style>
  <w:style w:type="character" w:customStyle="1" w:styleId="CommentTextChar">
    <w:name w:val="Comment Text Char"/>
    <w:basedOn w:val="DefaultParagraphFont"/>
    <w:link w:val="CommentText"/>
    <w:uiPriority w:val="99"/>
    <w:semiHidden/>
    <w:rsid w:val="00C864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44D"/>
    <w:rPr>
      <w:b/>
      <w:bCs/>
    </w:rPr>
  </w:style>
  <w:style w:type="character" w:customStyle="1" w:styleId="CommentSubjectChar">
    <w:name w:val="Comment Subject Char"/>
    <w:basedOn w:val="CommentTextChar"/>
    <w:link w:val="CommentSubject"/>
    <w:uiPriority w:val="99"/>
    <w:semiHidden/>
    <w:rsid w:val="00C864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2021-11-17T15:35:00Z</dcterms:created>
  <dcterms:modified xsi:type="dcterms:W3CDTF">2021-11-17T15:35:00Z</dcterms:modified>
</cp:coreProperties>
</file>