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A3C88" w14:textId="2BF75D27" w:rsidR="00995BE6" w:rsidRDefault="00995BE6">
      <w:pPr>
        <w:rPr>
          <w:rFonts w:ascii="Times New Roman" w:hAnsi="Times New Roman" w:cs="Times New Roman"/>
          <w:b/>
          <w:bCs/>
          <w:sz w:val="24"/>
          <w:szCs w:val="24"/>
        </w:rPr>
      </w:pPr>
      <w:bookmarkStart w:id="0" w:name="_Hlk71637910"/>
    </w:p>
    <w:p w14:paraId="4BBD76BC" w14:textId="3E80F4C5" w:rsidR="009238C9" w:rsidRDefault="009238C9">
      <w:pPr>
        <w:rPr>
          <w:rFonts w:ascii="Times New Roman" w:hAnsi="Times New Roman" w:cs="Times New Roman"/>
          <w:b/>
          <w:bCs/>
          <w:sz w:val="24"/>
          <w:szCs w:val="24"/>
        </w:rPr>
      </w:pPr>
    </w:p>
    <w:p w14:paraId="743B07AC" w14:textId="17A25716" w:rsidR="009238C9" w:rsidRDefault="009238C9">
      <w:pPr>
        <w:rPr>
          <w:rFonts w:ascii="Times New Roman" w:hAnsi="Times New Roman" w:cs="Times New Roman"/>
          <w:b/>
          <w:bCs/>
          <w:sz w:val="24"/>
          <w:szCs w:val="24"/>
        </w:rPr>
      </w:pPr>
    </w:p>
    <w:p w14:paraId="49F3955F" w14:textId="77777777" w:rsidR="009238C9" w:rsidRPr="00403E6A" w:rsidRDefault="009238C9">
      <w:pPr>
        <w:rPr>
          <w:rFonts w:ascii="Times New Roman" w:hAnsi="Times New Roman" w:cs="Times New Roman"/>
          <w:b/>
          <w:bCs/>
          <w:sz w:val="24"/>
          <w:szCs w:val="24"/>
        </w:rPr>
      </w:pPr>
    </w:p>
    <w:p w14:paraId="1374F1B7" w14:textId="0869C3F7" w:rsidR="00995BE6" w:rsidRPr="00403E6A" w:rsidRDefault="00995BE6">
      <w:pPr>
        <w:rPr>
          <w:rFonts w:ascii="Times New Roman" w:hAnsi="Times New Roman" w:cs="Times New Roman"/>
          <w:b/>
          <w:bCs/>
          <w:sz w:val="24"/>
          <w:szCs w:val="24"/>
        </w:rPr>
      </w:pPr>
    </w:p>
    <w:p w14:paraId="5C8F7CF9" w14:textId="07BA36AD" w:rsidR="00995BE6" w:rsidRPr="00403E6A" w:rsidRDefault="00995BE6">
      <w:pPr>
        <w:rPr>
          <w:rFonts w:ascii="Times New Roman" w:hAnsi="Times New Roman" w:cs="Times New Roman"/>
          <w:b/>
          <w:bCs/>
          <w:sz w:val="24"/>
          <w:szCs w:val="24"/>
        </w:rPr>
      </w:pPr>
    </w:p>
    <w:p w14:paraId="0DD032A3" w14:textId="07335C01" w:rsidR="00995BE6" w:rsidRPr="00403E6A" w:rsidRDefault="00995BE6">
      <w:pPr>
        <w:rPr>
          <w:rFonts w:ascii="Times New Roman" w:hAnsi="Times New Roman" w:cs="Times New Roman"/>
          <w:b/>
          <w:bCs/>
          <w:sz w:val="24"/>
          <w:szCs w:val="24"/>
        </w:rPr>
      </w:pPr>
    </w:p>
    <w:p w14:paraId="264ACAF9" w14:textId="4C1D2A47" w:rsidR="00116D19" w:rsidRPr="00403E6A" w:rsidRDefault="003F3AD7" w:rsidP="00995BE6">
      <w:pPr>
        <w:jc w:val="center"/>
        <w:rPr>
          <w:rFonts w:ascii="Times New Roman" w:hAnsi="Times New Roman" w:cs="Times New Roman"/>
          <w:b/>
          <w:bCs/>
          <w:sz w:val="40"/>
          <w:szCs w:val="40"/>
        </w:rPr>
      </w:pPr>
      <w:r w:rsidRPr="00403E6A">
        <w:rPr>
          <w:rFonts w:ascii="Times New Roman" w:hAnsi="Times New Roman" w:cs="Times New Roman"/>
          <w:b/>
          <w:bCs/>
          <w:sz w:val="40"/>
          <w:szCs w:val="40"/>
        </w:rPr>
        <w:t xml:space="preserve">Too Few Thimbles on the Monopoly Board </w:t>
      </w:r>
    </w:p>
    <w:p w14:paraId="624757E5" w14:textId="31F3DC7C" w:rsidR="00995BE6" w:rsidRPr="00403E6A" w:rsidRDefault="00AA57F2" w:rsidP="00995BE6">
      <w:pPr>
        <w:jc w:val="center"/>
        <w:rPr>
          <w:rFonts w:ascii="Times New Roman" w:hAnsi="Times New Roman" w:cs="Times New Roman"/>
          <w:b/>
          <w:bCs/>
          <w:sz w:val="28"/>
          <w:szCs w:val="28"/>
        </w:rPr>
      </w:pPr>
      <w:r w:rsidRPr="00403E6A">
        <w:rPr>
          <w:rFonts w:ascii="Times New Roman" w:hAnsi="Times New Roman" w:cs="Times New Roman"/>
          <w:b/>
          <w:bCs/>
          <w:sz w:val="28"/>
          <w:szCs w:val="28"/>
        </w:rPr>
        <w:t xml:space="preserve">How Concentration </w:t>
      </w:r>
      <w:r w:rsidR="00116D19" w:rsidRPr="00403E6A">
        <w:rPr>
          <w:rFonts w:ascii="Times New Roman" w:hAnsi="Times New Roman" w:cs="Times New Roman"/>
          <w:b/>
          <w:bCs/>
          <w:sz w:val="28"/>
          <w:szCs w:val="28"/>
        </w:rPr>
        <w:t>in Provider Markets</w:t>
      </w:r>
      <w:r w:rsidR="00D733E5" w:rsidRPr="00403E6A">
        <w:rPr>
          <w:rFonts w:ascii="Times New Roman" w:hAnsi="Times New Roman" w:cs="Times New Roman"/>
          <w:b/>
          <w:bCs/>
          <w:sz w:val="28"/>
          <w:szCs w:val="28"/>
        </w:rPr>
        <w:t xml:space="preserve"> have </w:t>
      </w:r>
      <w:r w:rsidR="00C24F6C" w:rsidRPr="00403E6A">
        <w:rPr>
          <w:rFonts w:ascii="Times New Roman" w:hAnsi="Times New Roman" w:cs="Times New Roman"/>
          <w:b/>
          <w:bCs/>
          <w:sz w:val="28"/>
          <w:szCs w:val="28"/>
        </w:rPr>
        <w:t>Driven Healthcare Costs</w:t>
      </w:r>
    </w:p>
    <w:p w14:paraId="5DC1520E" w14:textId="77777777" w:rsidR="00DE5C10" w:rsidRDefault="00DE5C10" w:rsidP="00DE5C10">
      <w:pPr>
        <w:rPr>
          <w:rFonts w:ascii="Times New Roman" w:hAnsi="Times New Roman" w:cs="Times New Roman"/>
          <w:b/>
          <w:bCs/>
          <w:sz w:val="24"/>
          <w:szCs w:val="24"/>
        </w:rPr>
      </w:pPr>
    </w:p>
    <w:p w14:paraId="5C75DDE4" w14:textId="77777777" w:rsidR="00DE5C10" w:rsidRDefault="00DE5C10" w:rsidP="00DE5C10">
      <w:pPr>
        <w:rPr>
          <w:rFonts w:ascii="Times New Roman" w:hAnsi="Times New Roman" w:cs="Times New Roman"/>
          <w:b/>
          <w:bCs/>
          <w:sz w:val="24"/>
          <w:szCs w:val="24"/>
        </w:rPr>
      </w:pPr>
    </w:p>
    <w:p w14:paraId="30CE68DE" w14:textId="77777777" w:rsidR="00DE5C10" w:rsidRDefault="00DE5C10" w:rsidP="00DE5C10">
      <w:pPr>
        <w:rPr>
          <w:rFonts w:ascii="Times New Roman" w:hAnsi="Times New Roman" w:cs="Times New Roman"/>
          <w:b/>
          <w:bCs/>
          <w:sz w:val="24"/>
          <w:szCs w:val="24"/>
        </w:rPr>
      </w:pPr>
    </w:p>
    <w:p w14:paraId="7999DBD8" w14:textId="77777777" w:rsidR="00DE5C10" w:rsidRPr="00403E6A" w:rsidRDefault="00DE5C10" w:rsidP="00DE5C10">
      <w:pPr>
        <w:rPr>
          <w:rFonts w:ascii="Times New Roman" w:hAnsi="Times New Roman" w:cs="Times New Roman"/>
          <w:b/>
          <w:bCs/>
          <w:sz w:val="24"/>
          <w:szCs w:val="24"/>
        </w:rPr>
      </w:pPr>
    </w:p>
    <w:p w14:paraId="1E93ED73" w14:textId="77777777" w:rsidR="00DE5C10" w:rsidRPr="00403E6A" w:rsidRDefault="00DE5C10" w:rsidP="00DE5C10">
      <w:pPr>
        <w:rPr>
          <w:rFonts w:ascii="Times New Roman" w:hAnsi="Times New Roman" w:cs="Times New Roman"/>
          <w:b/>
          <w:bCs/>
          <w:sz w:val="24"/>
          <w:szCs w:val="24"/>
        </w:rPr>
      </w:pPr>
    </w:p>
    <w:p w14:paraId="2C09118C" w14:textId="77777777" w:rsidR="00DE5C10" w:rsidRPr="00403E6A" w:rsidRDefault="00DE5C10" w:rsidP="00DE5C10">
      <w:pPr>
        <w:rPr>
          <w:rFonts w:ascii="Times New Roman" w:hAnsi="Times New Roman" w:cs="Times New Roman"/>
          <w:b/>
          <w:bCs/>
          <w:sz w:val="24"/>
          <w:szCs w:val="24"/>
        </w:rPr>
      </w:pPr>
    </w:p>
    <w:p w14:paraId="72F2E73F" w14:textId="77777777" w:rsidR="00DE5C10" w:rsidRPr="00403E6A" w:rsidRDefault="00DE5C10" w:rsidP="00DE5C10">
      <w:pPr>
        <w:rPr>
          <w:rFonts w:ascii="Times New Roman" w:hAnsi="Times New Roman" w:cs="Times New Roman"/>
          <w:b/>
          <w:bCs/>
          <w:sz w:val="24"/>
          <w:szCs w:val="24"/>
        </w:rPr>
      </w:pPr>
    </w:p>
    <w:p w14:paraId="7068970B" w14:textId="2FD828B5" w:rsidR="00A83707" w:rsidRPr="00403E6A" w:rsidRDefault="00A83707" w:rsidP="00995BE6">
      <w:pPr>
        <w:jc w:val="center"/>
        <w:rPr>
          <w:rFonts w:ascii="Times New Roman" w:hAnsi="Times New Roman" w:cs="Times New Roman"/>
          <w:b/>
          <w:bCs/>
          <w:sz w:val="24"/>
          <w:szCs w:val="24"/>
        </w:rPr>
      </w:pPr>
      <w:r w:rsidRPr="00403E6A">
        <w:rPr>
          <w:rFonts w:ascii="Times New Roman" w:hAnsi="Times New Roman" w:cs="Times New Roman"/>
          <w:b/>
          <w:bCs/>
          <w:sz w:val="24"/>
          <w:szCs w:val="24"/>
        </w:rPr>
        <w:t xml:space="preserve">Dan </w:t>
      </w:r>
      <w:proofErr w:type="spellStart"/>
      <w:r w:rsidRPr="00403E6A">
        <w:rPr>
          <w:rFonts w:ascii="Times New Roman" w:hAnsi="Times New Roman" w:cs="Times New Roman"/>
          <w:b/>
          <w:bCs/>
          <w:sz w:val="24"/>
          <w:szCs w:val="24"/>
        </w:rPr>
        <w:t>Gogerty</w:t>
      </w:r>
      <w:proofErr w:type="spellEnd"/>
    </w:p>
    <w:p w14:paraId="09FCD0B9" w14:textId="77777777" w:rsidR="00D65C34" w:rsidRPr="00403E6A" w:rsidRDefault="00D65C34" w:rsidP="00995BE6">
      <w:pPr>
        <w:jc w:val="center"/>
        <w:rPr>
          <w:rFonts w:ascii="Times New Roman" w:hAnsi="Times New Roman" w:cs="Times New Roman"/>
          <w:b/>
          <w:bCs/>
          <w:sz w:val="24"/>
          <w:szCs w:val="24"/>
        </w:rPr>
      </w:pPr>
      <w:r w:rsidRPr="00403E6A">
        <w:rPr>
          <w:rFonts w:ascii="Times New Roman" w:hAnsi="Times New Roman" w:cs="Times New Roman"/>
          <w:b/>
          <w:bCs/>
          <w:sz w:val="24"/>
          <w:szCs w:val="24"/>
        </w:rPr>
        <w:t>Advanced Writing Requirement</w:t>
      </w:r>
    </w:p>
    <w:p w14:paraId="129E7070" w14:textId="58C49E61" w:rsidR="005478FB" w:rsidRPr="00403E6A" w:rsidRDefault="005478FB" w:rsidP="00995BE6">
      <w:pPr>
        <w:jc w:val="center"/>
        <w:rPr>
          <w:rFonts w:ascii="Times New Roman" w:hAnsi="Times New Roman" w:cs="Times New Roman"/>
          <w:b/>
          <w:bCs/>
          <w:sz w:val="24"/>
          <w:szCs w:val="24"/>
        </w:rPr>
      </w:pPr>
      <w:r w:rsidRPr="00403E6A">
        <w:rPr>
          <w:rFonts w:ascii="Times New Roman" w:hAnsi="Times New Roman" w:cs="Times New Roman"/>
          <w:b/>
          <w:bCs/>
          <w:sz w:val="24"/>
          <w:szCs w:val="24"/>
        </w:rPr>
        <w:t>Healthcare</w:t>
      </w:r>
      <w:r w:rsidR="00D65C34" w:rsidRPr="00403E6A">
        <w:rPr>
          <w:rFonts w:ascii="Times New Roman" w:hAnsi="Times New Roman" w:cs="Times New Roman"/>
          <w:b/>
          <w:bCs/>
          <w:sz w:val="24"/>
          <w:szCs w:val="24"/>
        </w:rPr>
        <w:t xml:space="preserve"> Access &amp; Payment</w:t>
      </w:r>
    </w:p>
    <w:p w14:paraId="17232A85" w14:textId="75AFEFFE" w:rsidR="005478FB" w:rsidRDefault="00A83707" w:rsidP="00995BE6">
      <w:pPr>
        <w:jc w:val="center"/>
        <w:rPr>
          <w:rFonts w:ascii="Times New Roman" w:hAnsi="Times New Roman" w:cs="Times New Roman"/>
          <w:b/>
          <w:bCs/>
          <w:sz w:val="24"/>
          <w:szCs w:val="24"/>
        </w:rPr>
      </w:pPr>
      <w:r w:rsidRPr="00403E6A">
        <w:rPr>
          <w:rFonts w:ascii="Times New Roman" w:hAnsi="Times New Roman" w:cs="Times New Roman"/>
          <w:b/>
          <w:bCs/>
          <w:sz w:val="24"/>
          <w:szCs w:val="24"/>
        </w:rPr>
        <w:t>Spring 2021</w:t>
      </w:r>
    </w:p>
    <w:p w14:paraId="2B8ABDB0" w14:textId="2BBEF0BE" w:rsidR="007A505C" w:rsidRPr="00F62A0B" w:rsidRDefault="007A505C" w:rsidP="007A505C">
      <w:pPr>
        <w:pStyle w:val="NormalWeb"/>
        <w:spacing w:before="0" w:beforeAutospacing="0" w:after="0" w:afterAutospacing="0" w:line="480" w:lineRule="auto"/>
        <w:jc w:val="center"/>
        <w:textAlignment w:val="baseline"/>
        <w:rPr>
          <w:b/>
          <w:bCs/>
        </w:rPr>
      </w:pPr>
      <w:r w:rsidRPr="008E3393">
        <w:rPr>
          <w:b/>
          <w:bCs/>
        </w:rPr>
        <w:t>(</w:t>
      </w:r>
      <w:r w:rsidRPr="00B26785">
        <w:rPr>
          <w:b/>
          <w:bCs/>
          <w:highlight w:val="yellow"/>
        </w:rPr>
        <w:t xml:space="preserve">Post Submission Revision </w:t>
      </w:r>
      <w:r w:rsidRPr="00B26785">
        <w:rPr>
          <w:b/>
          <w:bCs/>
          <w:highlight w:val="yellow"/>
        </w:rPr>
        <w:t>8</w:t>
      </w:r>
      <w:r w:rsidRPr="00B26785">
        <w:rPr>
          <w:b/>
          <w:bCs/>
          <w:highlight w:val="yellow"/>
        </w:rPr>
        <w:t xml:space="preserve"> </w:t>
      </w:r>
      <w:r w:rsidRPr="00B26785">
        <w:rPr>
          <w:b/>
          <w:bCs/>
          <w:highlight w:val="yellow"/>
        </w:rPr>
        <w:t>February</w:t>
      </w:r>
      <w:r w:rsidRPr="00B26785">
        <w:rPr>
          <w:b/>
          <w:bCs/>
          <w:highlight w:val="yellow"/>
        </w:rPr>
        <w:t xml:space="preserve"> 2021</w:t>
      </w:r>
      <w:r w:rsidRPr="008E3393">
        <w:rPr>
          <w:b/>
          <w:bCs/>
        </w:rPr>
        <w:t>)</w:t>
      </w:r>
    </w:p>
    <w:p w14:paraId="7996DC34" w14:textId="77777777" w:rsidR="007A505C" w:rsidRPr="00403E6A" w:rsidRDefault="007A505C" w:rsidP="00995BE6">
      <w:pPr>
        <w:jc w:val="center"/>
        <w:rPr>
          <w:rFonts w:ascii="Times New Roman" w:hAnsi="Times New Roman" w:cs="Times New Roman"/>
          <w:b/>
          <w:bCs/>
          <w:sz w:val="24"/>
          <w:szCs w:val="24"/>
        </w:rPr>
      </w:pPr>
    </w:p>
    <w:p w14:paraId="391D3071" w14:textId="77777777" w:rsidR="005478FB" w:rsidRPr="00403E6A" w:rsidRDefault="005478FB">
      <w:pPr>
        <w:rPr>
          <w:rFonts w:ascii="Times New Roman" w:hAnsi="Times New Roman" w:cs="Times New Roman"/>
          <w:b/>
          <w:bCs/>
          <w:sz w:val="24"/>
          <w:szCs w:val="24"/>
        </w:rPr>
      </w:pPr>
      <w:r w:rsidRPr="00403E6A">
        <w:rPr>
          <w:rFonts w:ascii="Times New Roman" w:hAnsi="Times New Roman" w:cs="Times New Roman"/>
          <w:b/>
          <w:bCs/>
          <w:sz w:val="24"/>
          <w:szCs w:val="24"/>
        </w:rPr>
        <w:br w:type="page"/>
      </w:r>
    </w:p>
    <w:p w14:paraId="37592B70" w14:textId="0620C70C" w:rsidR="00A83707" w:rsidRPr="00403E6A" w:rsidRDefault="00CE1B35" w:rsidP="00CE1B35">
      <w:pPr>
        <w:rPr>
          <w:rFonts w:ascii="Times New Roman" w:hAnsi="Times New Roman" w:cs="Times New Roman"/>
          <w:b/>
          <w:bCs/>
          <w:sz w:val="24"/>
          <w:szCs w:val="24"/>
          <w:u w:val="single"/>
        </w:rPr>
      </w:pPr>
      <w:r w:rsidRPr="00403E6A">
        <w:rPr>
          <w:rFonts w:ascii="Times New Roman" w:hAnsi="Times New Roman" w:cs="Times New Roman"/>
          <w:b/>
          <w:bCs/>
          <w:sz w:val="24"/>
          <w:szCs w:val="24"/>
          <w:u w:val="single"/>
        </w:rPr>
        <w:lastRenderedPageBreak/>
        <w:t>Table of Contents</w:t>
      </w:r>
    </w:p>
    <w:p w14:paraId="37F8ABC3" w14:textId="1498AC18" w:rsidR="005E227A" w:rsidRPr="00403E6A" w:rsidRDefault="00CE1B35" w:rsidP="005E227A">
      <w:pPr>
        <w:rPr>
          <w:rFonts w:ascii="Times New Roman" w:hAnsi="Times New Roman" w:cs="Times New Roman"/>
          <w:b/>
          <w:bCs/>
          <w:sz w:val="24"/>
          <w:szCs w:val="24"/>
        </w:rPr>
      </w:pPr>
      <w:r w:rsidRPr="00403E6A">
        <w:rPr>
          <w:rFonts w:ascii="Times New Roman" w:hAnsi="Times New Roman" w:cs="Times New Roman"/>
          <w:b/>
          <w:bCs/>
          <w:sz w:val="24"/>
          <w:szCs w:val="24"/>
        </w:rPr>
        <w:t xml:space="preserve"> </w:t>
      </w:r>
      <w:r w:rsidR="00684D44" w:rsidRPr="00403E6A">
        <w:rPr>
          <w:rFonts w:ascii="Times New Roman" w:hAnsi="Times New Roman" w:cs="Times New Roman"/>
          <w:b/>
          <w:bCs/>
          <w:sz w:val="24"/>
          <w:szCs w:val="24"/>
        </w:rPr>
        <w:t>INTRODUCTION………………………………………………………………………………3</w:t>
      </w:r>
    </w:p>
    <w:p w14:paraId="4EED6D4E" w14:textId="7E472F68" w:rsidR="00054DE5" w:rsidRPr="00403E6A" w:rsidRDefault="005E227A" w:rsidP="00C61658">
      <w:pPr>
        <w:pStyle w:val="ListParagraph"/>
        <w:numPr>
          <w:ilvl w:val="0"/>
          <w:numId w:val="9"/>
        </w:numPr>
        <w:spacing w:line="480" w:lineRule="auto"/>
        <w:rPr>
          <w:rFonts w:ascii="Times New Roman" w:hAnsi="Times New Roman" w:cs="Times New Roman"/>
          <w:b/>
          <w:bCs/>
          <w:sz w:val="24"/>
          <w:szCs w:val="24"/>
        </w:rPr>
      </w:pPr>
      <w:r w:rsidRPr="00403E6A">
        <w:rPr>
          <w:rFonts w:ascii="Times New Roman" w:hAnsi="Times New Roman" w:cs="Times New Roman"/>
          <w:b/>
          <w:bCs/>
          <w:sz w:val="24"/>
          <w:szCs w:val="24"/>
        </w:rPr>
        <w:t>Understanding High Prices in Health Care and Their Prevailing Causes……….7</w:t>
      </w:r>
    </w:p>
    <w:p w14:paraId="73811572" w14:textId="619EC9A0" w:rsidR="005E227A" w:rsidRPr="00403E6A" w:rsidRDefault="007E7217" w:rsidP="00C61658">
      <w:pPr>
        <w:pStyle w:val="ListParagraph"/>
        <w:numPr>
          <w:ilvl w:val="0"/>
          <w:numId w:val="10"/>
        </w:numPr>
        <w:spacing w:line="480" w:lineRule="auto"/>
        <w:rPr>
          <w:rFonts w:ascii="Times New Roman" w:hAnsi="Times New Roman" w:cs="Times New Roman"/>
          <w:b/>
          <w:bCs/>
          <w:sz w:val="24"/>
          <w:szCs w:val="24"/>
        </w:rPr>
      </w:pPr>
      <w:r w:rsidRPr="00403E6A">
        <w:rPr>
          <w:rFonts w:ascii="Times New Roman" w:hAnsi="Times New Roman" w:cs="Times New Roman"/>
          <w:b/>
          <w:bCs/>
          <w:sz w:val="24"/>
          <w:szCs w:val="24"/>
        </w:rPr>
        <w:t>How Health Care Prices are Negotiated and its Effect on Consumers</w:t>
      </w:r>
      <w:r w:rsidR="00054DE5" w:rsidRPr="00403E6A">
        <w:rPr>
          <w:rFonts w:ascii="Times New Roman" w:hAnsi="Times New Roman" w:cs="Times New Roman"/>
          <w:b/>
          <w:bCs/>
          <w:sz w:val="24"/>
          <w:szCs w:val="24"/>
        </w:rPr>
        <w:t>………8</w:t>
      </w:r>
    </w:p>
    <w:p w14:paraId="23A9E029" w14:textId="76A7FFE1" w:rsidR="00FB75BF" w:rsidRPr="00403E6A" w:rsidRDefault="00FB75BF" w:rsidP="00C61658">
      <w:pPr>
        <w:pStyle w:val="ListParagraph"/>
        <w:numPr>
          <w:ilvl w:val="0"/>
          <w:numId w:val="10"/>
        </w:numPr>
        <w:spacing w:line="480" w:lineRule="auto"/>
        <w:rPr>
          <w:rFonts w:ascii="Times New Roman" w:hAnsi="Times New Roman" w:cs="Times New Roman"/>
          <w:b/>
          <w:bCs/>
          <w:sz w:val="24"/>
          <w:szCs w:val="24"/>
        </w:rPr>
      </w:pPr>
      <w:r w:rsidRPr="00403E6A">
        <w:rPr>
          <w:rFonts w:ascii="Times New Roman" w:hAnsi="Times New Roman" w:cs="Times New Roman"/>
          <w:b/>
          <w:bCs/>
          <w:sz w:val="24"/>
          <w:szCs w:val="24"/>
        </w:rPr>
        <w:t>Integration in Name, Consolidation in Practice………………………………11</w:t>
      </w:r>
    </w:p>
    <w:p w14:paraId="26105ED7" w14:textId="361B2E72" w:rsidR="00FB75BF" w:rsidRPr="00403E6A" w:rsidRDefault="00663B2F" w:rsidP="00C61658">
      <w:pPr>
        <w:pStyle w:val="ListParagraph"/>
        <w:numPr>
          <w:ilvl w:val="0"/>
          <w:numId w:val="10"/>
        </w:numPr>
        <w:spacing w:line="480" w:lineRule="auto"/>
        <w:rPr>
          <w:rFonts w:ascii="Times New Roman" w:hAnsi="Times New Roman" w:cs="Times New Roman"/>
          <w:b/>
          <w:bCs/>
          <w:sz w:val="24"/>
          <w:szCs w:val="24"/>
        </w:rPr>
      </w:pPr>
      <w:r w:rsidRPr="00403E6A">
        <w:rPr>
          <w:rFonts w:ascii="Times New Roman" w:hAnsi="Times New Roman" w:cs="Times New Roman"/>
          <w:b/>
          <w:bCs/>
          <w:sz w:val="24"/>
          <w:szCs w:val="24"/>
        </w:rPr>
        <w:t>Antitrust Enforcement has Proven to be Anti-Trustworthy…………………1</w:t>
      </w:r>
      <w:r w:rsidR="00121B7A">
        <w:rPr>
          <w:rFonts w:ascii="Times New Roman" w:hAnsi="Times New Roman" w:cs="Times New Roman"/>
          <w:b/>
          <w:bCs/>
          <w:sz w:val="24"/>
          <w:szCs w:val="24"/>
        </w:rPr>
        <w:t>6</w:t>
      </w:r>
    </w:p>
    <w:p w14:paraId="52FC6FC6" w14:textId="41FA6019" w:rsidR="00663B2F" w:rsidRPr="00403E6A" w:rsidRDefault="00181C13" w:rsidP="00C61658">
      <w:pPr>
        <w:pStyle w:val="ListParagraph"/>
        <w:numPr>
          <w:ilvl w:val="0"/>
          <w:numId w:val="9"/>
        </w:numPr>
        <w:spacing w:line="480" w:lineRule="auto"/>
        <w:rPr>
          <w:rFonts w:ascii="Times New Roman" w:hAnsi="Times New Roman" w:cs="Times New Roman"/>
          <w:b/>
          <w:bCs/>
          <w:sz w:val="24"/>
          <w:szCs w:val="24"/>
        </w:rPr>
      </w:pPr>
      <w:r w:rsidRPr="00403E6A">
        <w:rPr>
          <w:rFonts w:ascii="Times New Roman" w:hAnsi="Times New Roman" w:cs="Times New Roman"/>
          <w:b/>
          <w:bCs/>
          <w:sz w:val="24"/>
          <w:szCs w:val="24"/>
        </w:rPr>
        <w:t>Addressing the Proposed Solutions to Health Care’s High Prices</w:t>
      </w:r>
      <w:r w:rsidR="00365F83" w:rsidRPr="00403E6A">
        <w:rPr>
          <w:rFonts w:ascii="Times New Roman" w:hAnsi="Times New Roman" w:cs="Times New Roman"/>
          <w:b/>
          <w:bCs/>
          <w:sz w:val="24"/>
          <w:szCs w:val="24"/>
        </w:rPr>
        <w:t>………………2</w:t>
      </w:r>
      <w:r w:rsidR="00121B7A">
        <w:rPr>
          <w:rFonts w:ascii="Times New Roman" w:hAnsi="Times New Roman" w:cs="Times New Roman"/>
          <w:b/>
          <w:bCs/>
          <w:sz w:val="24"/>
          <w:szCs w:val="24"/>
        </w:rPr>
        <w:t>4</w:t>
      </w:r>
    </w:p>
    <w:p w14:paraId="6E56411D" w14:textId="18A8580D" w:rsidR="00365F83" w:rsidRPr="00403E6A" w:rsidRDefault="00365F83" w:rsidP="00C61658">
      <w:pPr>
        <w:pStyle w:val="ListParagraph"/>
        <w:numPr>
          <w:ilvl w:val="0"/>
          <w:numId w:val="11"/>
        </w:numPr>
        <w:spacing w:line="480" w:lineRule="auto"/>
        <w:rPr>
          <w:rFonts w:ascii="Times New Roman" w:hAnsi="Times New Roman" w:cs="Times New Roman"/>
          <w:b/>
          <w:bCs/>
          <w:sz w:val="24"/>
          <w:szCs w:val="24"/>
        </w:rPr>
      </w:pPr>
      <w:r w:rsidRPr="00403E6A">
        <w:rPr>
          <w:rFonts w:ascii="Times New Roman" w:hAnsi="Times New Roman" w:cs="Times New Roman"/>
          <w:b/>
          <w:bCs/>
          <w:sz w:val="24"/>
          <w:szCs w:val="24"/>
        </w:rPr>
        <w:t>Checking Quasi-Monopolies with a State-Sponsored Monopsony is Counterintuitive</w:t>
      </w:r>
      <w:r w:rsidR="005B7BAA" w:rsidRPr="00403E6A">
        <w:rPr>
          <w:rFonts w:ascii="Times New Roman" w:hAnsi="Times New Roman" w:cs="Times New Roman"/>
          <w:b/>
          <w:bCs/>
          <w:sz w:val="24"/>
          <w:szCs w:val="24"/>
        </w:rPr>
        <w:t>…………</w:t>
      </w:r>
      <w:proofErr w:type="gramStart"/>
      <w:r w:rsidR="005B7BAA" w:rsidRPr="00403E6A">
        <w:rPr>
          <w:rFonts w:ascii="Times New Roman" w:hAnsi="Times New Roman" w:cs="Times New Roman"/>
          <w:b/>
          <w:bCs/>
          <w:sz w:val="24"/>
          <w:szCs w:val="24"/>
        </w:rPr>
        <w:t>…..</w:t>
      </w:r>
      <w:proofErr w:type="gramEnd"/>
      <w:r w:rsidR="005B7BAA" w:rsidRPr="00403E6A">
        <w:rPr>
          <w:rFonts w:ascii="Times New Roman" w:hAnsi="Times New Roman" w:cs="Times New Roman"/>
          <w:b/>
          <w:bCs/>
          <w:sz w:val="24"/>
          <w:szCs w:val="24"/>
        </w:rPr>
        <w:t>………………………………………………….2</w:t>
      </w:r>
      <w:r w:rsidR="0019055B">
        <w:rPr>
          <w:rFonts w:ascii="Times New Roman" w:hAnsi="Times New Roman" w:cs="Times New Roman"/>
          <w:b/>
          <w:bCs/>
          <w:sz w:val="24"/>
          <w:szCs w:val="24"/>
        </w:rPr>
        <w:t>5</w:t>
      </w:r>
    </w:p>
    <w:p w14:paraId="104173C3" w14:textId="0698CC3D" w:rsidR="005B7BAA" w:rsidRPr="00403E6A" w:rsidRDefault="005967D8" w:rsidP="00C61658">
      <w:pPr>
        <w:pStyle w:val="ListParagraph"/>
        <w:numPr>
          <w:ilvl w:val="0"/>
          <w:numId w:val="11"/>
        </w:numPr>
        <w:spacing w:line="480" w:lineRule="auto"/>
        <w:rPr>
          <w:rFonts w:ascii="Times New Roman" w:hAnsi="Times New Roman" w:cs="Times New Roman"/>
          <w:b/>
          <w:bCs/>
          <w:sz w:val="24"/>
          <w:szCs w:val="24"/>
        </w:rPr>
      </w:pPr>
      <w:r w:rsidRPr="00403E6A">
        <w:rPr>
          <w:rFonts w:ascii="Times New Roman" w:hAnsi="Times New Roman" w:cs="Times New Roman"/>
          <w:b/>
          <w:bCs/>
          <w:sz w:val="24"/>
          <w:szCs w:val="24"/>
        </w:rPr>
        <w:t>The Dog Chasing its Tail is Getting Exhausted………………………………</w:t>
      </w:r>
      <w:r w:rsidR="0019055B">
        <w:rPr>
          <w:rFonts w:ascii="Times New Roman" w:hAnsi="Times New Roman" w:cs="Times New Roman"/>
          <w:b/>
          <w:bCs/>
          <w:sz w:val="24"/>
          <w:szCs w:val="24"/>
        </w:rPr>
        <w:t>30</w:t>
      </w:r>
    </w:p>
    <w:p w14:paraId="3196DD8C" w14:textId="51AB97AB" w:rsidR="00957D3D" w:rsidRPr="00403E6A" w:rsidRDefault="00957D3D" w:rsidP="00C61658">
      <w:pPr>
        <w:pStyle w:val="ListParagraph"/>
        <w:numPr>
          <w:ilvl w:val="0"/>
          <w:numId w:val="11"/>
        </w:numPr>
        <w:spacing w:line="480" w:lineRule="auto"/>
        <w:rPr>
          <w:rFonts w:ascii="Times New Roman" w:hAnsi="Times New Roman" w:cs="Times New Roman"/>
          <w:b/>
          <w:bCs/>
          <w:sz w:val="24"/>
          <w:szCs w:val="24"/>
        </w:rPr>
      </w:pPr>
      <w:r w:rsidRPr="00403E6A">
        <w:rPr>
          <w:rFonts w:ascii="Times New Roman" w:hAnsi="Times New Roman" w:cs="Times New Roman"/>
          <w:b/>
          <w:bCs/>
          <w:sz w:val="24"/>
          <w:szCs w:val="24"/>
        </w:rPr>
        <w:t>Say Their Names: Provider Monopolies are Utilities………………………...</w:t>
      </w:r>
      <w:r w:rsidR="0019055B">
        <w:rPr>
          <w:rFonts w:ascii="Times New Roman" w:hAnsi="Times New Roman" w:cs="Times New Roman"/>
          <w:b/>
          <w:bCs/>
          <w:sz w:val="24"/>
          <w:szCs w:val="24"/>
        </w:rPr>
        <w:t>32</w:t>
      </w:r>
    </w:p>
    <w:p w14:paraId="3597D650" w14:textId="0571EAD3" w:rsidR="00957D3D" w:rsidRPr="00403E6A" w:rsidRDefault="00957D3D" w:rsidP="00C61658">
      <w:pPr>
        <w:pStyle w:val="ListParagraph"/>
        <w:numPr>
          <w:ilvl w:val="0"/>
          <w:numId w:val="11"/>
        </w:numPr>
        <w:spacing w:after="0" w:line="480" w:lineRule="auto"/>
        <w:rPr>
          <w:rFonts w:ascii="Times New Roman" w:hAnsi="Times New Roman" w:cs="Times New Roman"/>
          <w:b/>
          <w:bCs/>
          <w:sz w:val="24"/>
          <w:szCs w:val="24"/>
        </w:rPr>
      </w:pPr>
      <w:r w:rsidRPr="00403E6A">
        <w:rPr>
          <w:rFonts w:ascii="Times New Roman" w:hAnsi="Times New Roman" w:cs="Times New Roman"/>
          <w:b/>
          <w:bCs/>
          <w:sz w:val="24"/>
          <w:szCs w:val="24"/>
        </w:rPr>
        <w:t>Empower Consumers to Dilute the Power of the Monopolies……………….3</w:t>
      </w:r>
      <w:r w:rsidR="0019055B">
        <w:rPr>
          <w:rFonts w:ascii="Times New Roman" w:hAnsi="Times New Roman" w:cs="Times New Roman"/>
          <w:b/>
          <w:bCs/>
          <w:sz w:val="24"/>
          <w:szCs w:val="24"/>
        </w:rPr>
        <w:t>5</w:t>
      </w:r>
    </w:p>
    <w:p w14:paraId="395F897F" w14:textId="51E4B0BC" w:rsidR="001410A4" w:rsidRPr="00403E6A" w:rsidRDefault="001410A4" w:rsidP="001410A4">
      <w:pPr>
        <w:spacing w:after="0" w:line="360" w:lineRule="auto"/>
        <w:rPr>
          <w:rFonts w:ascii="Times New Roman" w:hAnsi="Times New Roman" w:cs="Times New Roman"/>
          <w:b/>
          <w:bCs/>
          <w:sz w:val="24"/>
          <w:szCs w:val="24"/>
        </w:rPr>
      </w:pPr>
      <w:r w:rsidRPr="00403E6A">
        <w:rPr>
          <w:rFonts w:ascii="Times New Roman" w:hAnsi="Times New Roman" w:cs="Times New Roman"/>
          <w:b/>
          <w:bCs/>
          <w:sz w:val="24"/>
          <w:szCs w:val="24"/>
        </w:rPr>
        <w:t>CONCLUSION</w:t>
      </w:r>
      <w:r w:rsidR="00C61658" w:rsidRPr="00403E6A">
        <w:rPr>
          <w:rFonts w:ascii="Times New Roman" w:hAnsi="Times New Roman" w:cs="Times New Roman"/>
          <w:b/>
          <w:bCs/>
          <w:sz w:val="24"/>
          <w:szCs w:val="24"/>
        </w:rPr>
        <w:t>…………………………………………………………………………………3</w:t>
      </w:r>
      <w:r w:rsidR="0019055B">
        <w:rPr>
          <w:rFonts w:ascii="Times New Roman" w:hAnsi="Times New Roman" w:cs="Times New Roman"/>
          <w:b/>
          <w:bCs/>
          <w:sz w:val="24"/>
          <w:szCs w:val="24"/>
        </w:rPr>
        <w:t>6</w:t>
      </w:r>
    </w:p>
    <w:p w14:paraId="0E6D355C" w14:textId="77777777" w:rsidR="00684D44" w:rsidRPr="00403E6A" w:rsidRDefault="00684D44">
      <w:pPr>
        <w:rPr>
          <w:rFonts w:ascii="Times New Roman" w:hAnsi="Times New Roman" w:cs="Times New Roman"/>
          <w:b/>
          <w:bCs/>
          <w:sz w:val="24"/>
          <w:szCs w:val="24"/>
        </w:rPr>
      </w:pPr>
    </w:p>
    <w:p w14:paraId="15BAC3F5" w14:textId="78100D8C" w:rsidR="00D110B2" w:rsidRPr="00403E6A" w:rsidRDefault="00D110B2">
      <w:pPr>
        <w:rPr>
          <w:rFonts w:ascii="Times New Roman" w:hAnsi="Times New Roman" w:cs="Times New Roman"/>
          <w:b/>
          <w:bCs/>
          <w:sz w:val="24"/>
          <w:szCs w:val="24"/>
        </w:rPr>
      </w:pPr>
      <w:r w:rsidRPr="00403E6A">
        <w:rPr>
          <w:rFonts w:ascii="Times New Roman" w:hAnsi="Times New Roman" w:cs="Times New Roman"/>
          <w:b/>
          <w:bCs/>
          <w:sz w:val="24"/>
          <w:szCs w:val="24"/>
        </w:rPr>
        <w:br w:type="page"/>
      </w:r>
    </w:p>
    <w:p w14:paraId="631DF7F9" w14:textId="2EB5F668" w:rsidR="007639A4" w:rsidRPr="00403E6A" w:rsidRDefault="008C239D" w:rsidP="00712556">
      <w:pPr>
        <w:jc w:val="center"/>
        <w:rPr>
          <w:rFonts w:ascii="Times New Roman" w:hAnsi="Times New Roman" w:cs="Times New Roman"/>
          <w:b/>
          <w:bCs/>
          <w:sz w:val="24"/>
          <w:szCs w:val="24"/>
        </w:rPr>
      </w:pPr>
      <w:r w:rsidRPr="00403E6A">
        <w:rPr>
          <w:rFonts w:ascii="Times New Roman" w:hAnsi="Times New Roman" w:cs="Times New Roman"/>
          <w:b/>
          <w:bCs/>
          <w:sz w:val="24"/>
          <w:szCs w:val="24"/>
        </w:rPr>
        <w:lastRenderedPageBreak/>
        <w:t>INTRODUCTION</w:t>
      </w:r>
    </w:p>
    <w:p w14:paraId="0FBEE513" w14:textId="599CDBC7" w:rsidR="008C239D" w:rsidRPr="00403E6A" w:rsidRDefault="00157790" w:rsidP="005A690D">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t xml:space="preserve">Debates surrounding the American healthcare system often try to address the </w:t>
      </w:r>
      <w:r w:rsidR="005D34A3" w:rsidRPr="00403E6A">
        <w:rPr>
          <w:rFonts w:ascii="Times New Roman" w:hAnsi="Times New Roman" w:cs="Times New Roman"/>
          <w:sz w:val="24"/>
          <w:szCs w:val="24"/>
        </w:rPr>
        <w:t>coinciding issues</w:t>
      </w:r>
      <w:r w:rsidRPr="00403E6A">
        <w:rPr>
          <w:rFonts w:ascii="Times New Roman" w:hAnsi="Times New Roman" w:cs="Times New Roman"/>
          <w:sz w:val="24"/>
          <w:szCs w:val="24"/>
        </w:rPr>
        <w:t xml:space="preserve"> of cost and access</w:t>
      </w:r>
      <w:r w:rsidR="00773521" w:rsidRPr="00403E6A">
        <w:rPr>
          <w:rFonts w:ascii="Times New Roman" w:hAnsi="Times New Roman" w:cs="Times New Roman"/>
          <w:sz w:val="24"/>
          <w:szCs w:val="24"/>
        </w:rPr>
        <w:t xml:space="preserve"> to the consumer</w:t>
      </w:r>
      <w:r w:rsidRPr="00403E6A">
        <w:rPr>
          <w:rFonts w:ascii="Times New Roman" w:hAnsi="Times New Roman" w:cs="Times New Roman"/>
          <w:sz w:val="24"/>
          <w:szCs w:val="24"/>
        </w:rPr>
        <w:t>.</w:t>
      </w:r>
      <w:r w:rsidR="005D34A3" w:rsidRPr="00403E6A">
        <w:rPr>
          <w:rFonts w:ascii="Times New Roman" w:hAnsi="Times New Roman" w:cs="Times New Roman"/>
          <w:sz w:val="24"/>
          <w:szCs w:val="24"/>
        </w:rPr>
        <w:t xml:space="preserve"> T</w:t>
      </w:r>
      <w:r w:rsidR="00F6433E" w:rsidRPr="00403E6A">
        <w:rPr>
          <w:rFonts w:ascii="Times New Roman" w:hAnsi="Times New Roman" w:cs="Times New Roman"/>
          <w:sz w:val="24"/>
          <w:szCs w:val="24"/>
        </w:rPr>
        <w:t>his can be attributed to the fact that t</w:t>
      </w:r>
      <w:r w:rsidR="005D34A3" w:rsidRPr="00403E6A">
        <w:rPr>
          <w:rFonts w:ascii="Times New Roman" w:hAnsi="Times New Roman" w:cs="Times New Roman"/>
          <w:sz w:val="24"/>
          <w:szCs w:val="24"/>
        </w:rPr>
        <w:t xml:space="preserve">he United States </w:t>
      </w:r>
      <w:r w:rsidR="00F6433E" w:rsidRPr="00403E6A">
        <w:rPr>
          <w:rFonts w:ascii="Times New Roman" w:hAnsi="Times New Roman" w:cs="Times New Roman"/>
          <w:sz w:val="24"/>
          <w:szCs w:val="24"/>
        </w:rPr>
        <w:t xml:space="preserve">spends more than any other economically developed country on health care, both as a percentage </w:t>
      </w:r>
      <w:r w:rsidR="00750667" w:rsidRPr="00403E6A">
        <w:rPr>
          <w:rFonts w:ascii="Times New Roman" w:hAnsi="Times New Roman" w:cs="Times New Roman"/>
          <w:sz w:val="24"/>
          <w:szCs w:val="24"/>
        </w:rPr>
        <w:t>o</w:t>
      </w:r>
      <w:r w:rsidR="00F6433E" w:rsidRPr="00403E6A">
        <w:rPr>
          <w:rFonts w:ascii="Times New Roman" w:hAnsi="Times New Roman" w:cs="Times New Roman"/>
          <w:sz w:val="24"/>
          <w:szCs w:val="24"/>
        </w:rPr>
        <w:t xml:space="preserve">f GDP and per capita, while having </w:t>
      </w:r>
      <w:r w:rsidR="0013097E" w:rsidRPr="00403E6A">
        <w:rPr>
          <w:rFonts w:ascii="Times New Roman" w:hAnsi="Times New Roman" w:cs="Times New Roman"/>
          <w:sz w:val="24"/>
          <w:szCs w:val="24"/>
        </w:rPr>
        <w:t xml:space="preserve">almost </w:t>
      </w:r>
      <w:r w:rsidR="00F6433E" w:rsidRPr="00403E6A">
        <w:rPr>
          <w:rFonts w:ascii="Times New Roman" w:hAnsi="Times New Roman" w:cs="Times New Roman"/>
          <w:sz w:val="24"/>
          <w:szCs w:val="24"/>
        </w:rPr>
        <w:t>29 million uninsured nonelderly citizens.</w:t>
      </w:r>
      <w:r w:rsidR="00A14093" w:rsidRPr="00403E6A">
        <w:rPr>
          <w:rStyle w:val="FootnoteReference"/>
          <w:rFonts w:ascii="Times New Roman" w:hAnsi="Times New Roman" w:cs="Times New Roman"/>
          <w:sz w:val="24"/>
          <w:szCs w:val="24"/>
        </w:rPr>
        <w:footnoteReference w:id="1"/>
      </w:r>
      <w:r w:rsidR="00F6433E" w:rsidRPr="00403E6A">
        <w:rPr>
          <w:rFonts w:ascii="Times New Roman" w:hAnsi="Times New Roman" w:cs="Times New Roman"/>
          <w:sz w:val="24"/>
          <w:szCs w:val="24"/>
        </w:rPr>
        <w:t xml:space="preserve"> Moreover, the United States spends more on health care than on any other sector of the economy, including defense, transportation, education, or housing.</w:t>
      </w:r>
      <w:r w:rsidR="008E25FC" w:rsidRPr="00403E6A">
        <w:rPr>
          <w:rStyle w:val="FootnoteReference"/>
          <w:rFonts w:ascii="Times New Roman" w:hAnsi="Times New Roman" w:cs="Times New Roman"/>
          <w:sz w:val="24"/>
          <w:szCs w:val="24"/>
        </w:rPr>
        <w:footnoteReference w:id="2"/>
      </w:r>
      <w:r w:rsidR="00F6433E" w:rsidRPr="00403E6A">
        <w:rPr>
          <w:rFonts w:ascii="Times New Roman" w:hAnsi="Times New Roman" w:cs="Times New Roman"/>
          <w:sz w:val="24"/>
          <w:szCs w:val="24"/>
        </w:rPr>
        <w:t xml:space="preserve"> </w:t>
      </w:r>
      <w:r w:rsidR="006B4DA1" w:rsidRPr="00403E6A">
        <w:rPr>
          <w:rFonts w:ascii="Times New Roman" w:hAnsi="Times New Roman" w:cs="Times New Roman"/>
          <w:sz w:val="24"/>
          <w:szCs w:val="24"/>
        </w:rPr>
        <w:t xml:space="preserve">Although more spending is not facially problematic, our uninsured rate </w:t>
      </w:r>
      <w:r w:rsidR="00067440" w:rsidRPr="00403E6A">
        <w:rPr>
          <w:rFonts w:ascii="Times New Roman" w:hAnsi="Times New Roman" w:cs="Times New Roman"/>
          <w:sz w:val="24"/>
          <w:szCs w:val="24"/>
        </w:rPr>
        <w:t>and</w:t>
      </w:r>
      <w:r w:rsidR="006B4DA1" w:rsidRPr="00403E6A">
        <w:rPr>
          <w:rFonts w:ascii="Times New Roman" w:hAnsi="Times New Roman" w:cs="Times New Roman"/>
          <w:sz w:val="24"/>
          <w:szCs w:val="24"/>
        </w:rPr>
        <w:t xml:space="preserve"> </w:t>
      </w:r>
      <w:r w:rsidR="00067440" w:rsidRPr="00403E6A">
        <w:rPr>
          <w:rFonts w:ascii="Times New Roman" w:hAnsi="Times New Roman" w:cs="Times New Roman"/>
          <w:sz w:val="24"/>
          <w:szCs w:val="24"/>
        </w:rPr>
        <w:t>adequate</w:t>
      </w:r>
      <w:r w:rsidR="006B4DA1" w:rsidRPr="00403E6A">
        <w:rPr>
          <w:rFonts w:ascii="Times New Roman" w:hAnsi="Times New Roman" w:cs="Times New Roman"/>
          <w:sz w:val="24"/>
          <w:szCs w:val="24"/>
        </w:rPr>
        <w:t xml:space="preserve"> health outcomes prompt a</w:t>
      </w:r>
      <w:r w:rsidR="00344569" w:rsidRPr="00403E6A">
        <w:rPr>
          <w:rFonts w:ascii="Times New Roman" w:hAnsi="Times New Roman" w:cs="Times New Roman"/>
          <w:sz w:val="24"/>
          <w:szCs w:val="24"/>
        </w:rPr>
        <w:t xml:space="preserve">n important </w:t>
      </w:r>
      <w:r w:rsidR="006B4DA1" w:rsidRPr="00403E6A">
        <w:rPr>
          <w:rFonts w:ascii="Times New Roman" w:hAnsi="Times New Roman" w:cs="Times New Roman"/>
          <w:sz w:val="24"/>
          <w:szCs w:val="24"/>
        </w:rPr>
        <w:t xml:space="preserve">debate </w:t>
      </w:r>
      <w:r w:rsidR="00B013E9" w:rsidRPr="00403E6A">
        <w:rPr>
          <w:rFonts w:ascii="Times New Roman" w:hAnsi="Times New Roman" w:cs="Times New Roman"/>
          <w:sz w:val="24"/>
          <w:szCs w:val="24"/>
        </w:rPr>
        <w:t>about</w:t>
      </w:r>
      <w:r w:rsidR="006B4DA1" w:rsidRPr="00403E6A">
        <w:rPr>
          <w:rFonts w:ascii="Times New Roman" w:hAnsi="Times New Roman" w:cs="Times New Roman"/>
          <w:sz w:val="24"/>
          <w:szCs w:val="24"/>
        </w:rPr>
        <w:t xml:space="preserve"> </w:t>
      </w:r>
      <w:r w:rsidR="00B013E9" w:rsidRPr="00403E6A">
        <w:rPr>
          <w:rFonts w:ascii="Times New Roman" w:hAnsi="Times New Roman" w:cs="Times New Roman"/>
          <w:sz w:val="24"/>
          <w:szCs w:val="24"/>
        </w:rPr>
        <w:t xml:space="preserve">why </w:t>
      </w:r>
      <w:r w:rsidR="006B4DA1" w:rsidRPr="00403E6A">
        <w:rPr>
          <w:rFonts w:ascii="Times New Roman" w:hAnsi="Times New Roman" w:cs="Times New Roman"/>
          <w:sz w:val="24"/>
          <w:szCs w:val="24"/>
        </w:rPr>
        <w:t>this country spends</w:t>
      </w:r>
      <w:r w:rsidR="00B013E9" w:rsidRPr="00403E6A">
        <w:rPr>
          <w:rFonts w:ascii="Times New Roman" w:hAnsi="Times New Roman" w:cs="Times New Roman"/>
          <w:sz w:val="24"/>
          <w:szCs w:val="24"/>
        </w:rPr>
        <w:t xml:space="preserve"> so much</w:t>
      </w:r>
      <w:r w:rsidR="00B12C9E" w:rsidRPr="00403E6A">
        <w:rPr>
          <w:rFonts w:ascii="Times New Roman" w:hAnsi="Times New Roman" w:cs="Times New Roman"/>
          <w:sz w:val="24"/>
          <w:szCs w:val="24"/>
        </w:rPr>
        <w:t xml:space="preserve"> without </w:t>
      </w:r>
      <w:r w:rsidR="00547BF1" w:rsidRPr="00403E6A">
        <w:rPr>
          <w:rFonts w:ascii="Times New Roman" w:hAnsi="Times New Roman" w:cs="Times New Roman"/>
          <w:sz w:val="24"/>
          <w:szCs w:val="24"/>
        </w:rPr>
        <w:t>better results</w:t>
      </w:r>
      <w:r w:rsidR="006B4DA1" w:rsidRPr="00403E6A">
        <w:rPr>
          <w:rFonts w:ascii="Times New Roman" w:hAnsi="Times New Roman" w:cs="Times New Roman"/>
          <w:sz w:val="24"/>
          <w:szCs w:val="24"/>
        </w:rPr>
        <w:t xml:space="preserve">. </w:t>
      </w:r>
      <w:r w:rsidR="003D752F" w:rsidRPr="00403E6A">
        <w:rPr>
          <w:rFonts w:ascii="Times New Roman" w:hAnsi="Times New Roman" w:cs="Times New Roman"/>
          <w:sz w:val="24"/>
          <w:szCs w:val="24"/>
        </w:rPr>
        <w:t>Unfortunately, t</w:t>
      </w:r>
      <w:r w:rsidR="0013097E" w:rsidRPr="00403E6A">
        <w:rPr>
          <w:rFonts w:ascii="Times New Roman" w:hAnsi="Times New Roman" w:cs="Times New Roman"/>
          <w:sz w:val="24"/>
          <w:szCs w:val="24"/>
        </w:rPr>
        <w:t>h</w:t>
      </w:r>
      <w:r w:rsidR="002A20B0" w:rsidRPr="00403E6A">
        <w:rPr>
          <w:rFonts w:ascii="Times New Roman" w:hAnsi="Times New Roman" w:cs="Times New Roman"/>
          <w:sz w:val="24"/>
          <w:szCs w:val="24"/>
        </w:rPr>
        <w:t>e</w:t>
      </w:r>
      <w:r w:rsidR="0013097E" w:rsidRPr="00403E6A">
        <w:rPr>
          <w:rFonts w:ascii="Times New Roman" w:hAnsi="Times New Roman" w:cs="Times New Roman"/>
          <w:sz w:val="24"/>
          <w:szCs w:val="24"/>
        </w:rPr>
        <w:t xml:space="preserve"> system</w:t>
      </w:r>
      <w:r w:rsidR="002A20B0" w:rsidRPr="00403E6A">
        <w:rPr>
          <w:rFonts w:ascii="Times New Roman" w:hAnsi="Times New Roman" w:cs="Times New Roman"/>
          <w:sz w:val="24"/>
          <w:szCs w:val="24"/>
        </w:rPr>
        <w:t xml:space="preserve"> functions as a complex web </w:t>
      </w:r>
      <w:r w:rsidR="000165DA" w:rsidRPr="00403E6A">
        <w:rPr>
          <w:rFonts w:ascii="Times New Roman" w:hAnsi="Times New Roman" w:cs="Times New Roman"/>
          <w:sz w:val="24"/>
          <w:szCs w:val="24"/>
        </w:rPr>
        <w:t xml:space="preserve">and </w:t>
      </w:r>
      <w:r w:rsidR="0013097E" w:rsidRPr="00403E6A">
        <w:rPr>
          <w:rFonts w:ascii="Times New Roman" w:hAnsi="Times New Roman" w:cs="Times New Roman"/>
          <w:sz w:val="24"/>
          <w:szCs w:val="24"/>
        </w:rPr>
        <w:t xml:space="preserve">has resulted </w:t>
      </w:r>
      <w:r w:rsidR="002A20B0" w:rsidRPr="00403E6A">
        <w:rPr>
          <w:rFonts w:ascii="Times New Roman" w:hAnsi="Times New Roman" w:cs="Times New Roman"/>
          <w:sz w:val="24"/>
          <w:szCs w:val="24"/>
        </w:rPr>
        <w:t xml:space="preserve">in </w:t>
      </w:r>
      <w:r w:rsidR="0013097E" w:rsidRPr="00403E6A">
        <w:rPr>
          <w:rFonts w:ascii="Times New Roman" w:hAnsi="Times New Roman" w:cs="Times New Roman"/>
          <w:sz w:val="24"/>
          <w:szCs w:val="24"/>
        </w:rPr>
        <w:t xml:space="preserve">hamstrung consumers and </w:t>
      </w:r>
      <w:r w:rsidR="006618A8" w:rsidRPr="00403E6A">
        <w:rPr>
          <w:rFonts w:ascii="Times New Roman" w:hAnsi="Times New Roman" w:cs="Times New Roman"/>
          <w:sz w:val="24"/>
          <w:szCs w:val="24"/>
        </w:rPr>
        <w:t xml:space="preserve">a </w:t>
      </w:r>
      <w:r w:rsidR="0013097E" w:rsidRPr="00403E6A">
        <w:rPr>
          <w:rFonts w:ascii="Times New Roman" w:hAnsi="Times New Roman" w:cs="Times New Roman"/>
          <w:sz w:val="24"/>
          <w:szCs w:val="24"/>
        </w:rPr>
        <w:t xml:space="preserve">concentrated market of </w:t>
      </w:r>
      <w:r w:rsidR="00B013E9" w:rsidRPr="00403E6A">
        <w:rPr>
          <w:rFonts w:ascii="Times New Roman" w:hAnsi="Times New Roman" w:cs="Times New Roman"/>
          <w:sz w:val="24"/>
          <w:szCs w:val="24"/>
        </w:rPr>
        <w:t>suppliers</w:t>
      </w:r>
      <w:r w:rsidR="006E26DE" w:rsidRPr="00403E6A">
        <w:rPr>
          <w:rFonts w:ascii="Times New Roman" w:hAnsi="Times New Roman" w:cs="Times New Roman"/>
          <w:sz w:val="24"/>
          <w:szCs w:val="24"/>
        </w:rPr>
        <w:t xml:space="preserve"> and </w:t>
      </w:r>
      <w:r w:rsidR="00CC7920" w:rsidRPr="00403E6A">
        <w:rPr>
          <w:rFonts w:ascii="Times New Roman" w:hAnsi="Times New Roman" w:cs="Times New Roman"/>
          <w:sz w:val="24"/>
          <w:szCs w:val="24"/>
        </w:rPr>
        <w:t>third-party payers</w:t>
      </w:r>
      <w:r w:rsidR="0013097E" w:rsidRPr="00403E6A">
        <w:rPr>
          <w:rFonts w:ascii="Times New Roman" w:hAnsi="Times New Roman" w:cs="Times New Roman"/>
          <w:sz w:val="24"/>
          <w:szCs w:val="24"/>
        </w:rPr>
        <w:t xml:space="preserve">. </w:t>
      </w:r>
    </w:p>
    <w:p w14:paraId="7C16A35F" w14:textId="1FBB91DF" w:rsidR="001B79E2" w:rsidRPr="00403E6A" w:rsidRDefault="001B79E2" w:rsidP="005A690D">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t xml:space="preserve">This is concerning for reasons other than the obvious fact that affordable health care is important to </w:t>
      </w:r>
      <w:r w:rsidR="00E91212">
        <w:rPr>
          <w:rFonts w:ascii="Times New Roman" w:hAnsi="Times New Roman" w:cs="Times New Roman"/>
          <w:sz w:val="24"/>
          <w:szCs w:val="24"/>
        </w:rPr>
        <w:t xml:space="preserve">the </w:t>
      </w:r>
      <w:r w:rsidRPr="00403E6A">
        <w:rPr>
          <w:rFonts w:ascii="Times New Roman" w:hAnsi="Times New Roman" w:cs="Times New Roman"/>
          <w:sz w:val="24"/>
          <w:szCs w:val="24"/>
        </w:rPr>
        <w:t>physical and psychological well-being of the country</w:t>
      </w:r>
      <w:r w:rsidR="00D70767" w:rsidRPr="00403E6A">
        <w:rPr>
          <w:rFonts w:ascii="Times New Roman" w:hAnsi="Times New Roman" w:cs="Times New Roman"/>
          <w:sz w:val="24"/>
          <w:szCs w:val="24"/>
        </w:rPr>
        <w:t>’s citizens</w:t>
      </w:r>
      <w:r w:rsidRPr="00403E6A">
        <w:rPr>
          <w:rFonts w:ascii="Times New Roman" w:hAnsi="Times New Roman" w:cs="Times New Roman"/>
          <w:sz w:val="24"/>
          <w:szCs w:val="24"/>
        </w:rPr>
        <w:t xml:space="preserve">. </w:t>
      </w:r>
      <w:r w:rsidR="00D70767" w:rsidRPr="00403E6A">
        <w:rPr>
          <w:rFonts w:ascii="Times New Roman" w:hAnsi="Times New Roman" w:cs="Times New Roman"/>
          <w:sz w:val="24"/>
          <w:szCs w:val="24"/>
        </w:rPr>
        <w:t>Our</w:t>
      </w:r>
      <w:r w:rsidRPr="00403E6A">
        <w:rPr>
          <w:rFonts w:ascii="Times New Roman" w:hAnsi="Times New Roman" w:cs="Times New Roman"/>
          <w:sz w:val="24"/>
          <w:szCs w:val="24"/>
        </w:rPr>
        <w:t xml:space="preserve"> inefficient healthcare system </w:t>
      </w:r>
      <w:r w:rsidR="00D70767" w:rsidRPr="00403E6A">
        <w:rPr>
          <w:rFonts w:ascii="Times New Roman" w:hAnsi="Times New Roman" w:cs="Times New Roman"/>
          <w:sz w:val="24"/>
          <w:szCs w:val="24"/>
        </w:rPr>
        <w:t xml:space="preserve">has </w:t>
      </w:r>
      <w:r w:rsidR="0042717C" w:rsidRPr="00403E6A">
        <w:rPr>
          <w:rFonts w:ascii="Times New Roman" w:hAnsi="Times New Roman" w:cs="Times New Roman"/>
          <w:sz w:val="24"/>
          <w:szCs w:val="24"/>
        </w:rPr>
        <w:t>a</w:t>
      </w:r>
      <w:r w:rsidRPr="00403E6A">
        <w:rPr>
          <w:rFonts w:ascii="Times New Roman" w:hAnsi="Times New Roman" w:cs="Times New Roman"/>
          <w:sz w:val="24"/>
          <w:szCs w:val="24"/>
        </w:rPr>
        <w:t>ffect</w:t>
      </w:r>
      <w:r w:rsidR="00D70767" w:rsidRPr="00403E6A">
        <w:rPr>
          <w:rFonts w:ascii="Times New Roman" w:hAnsi="Times New Roman" w:cs="Times New Roman"/>
          <w:sz w:val="24"/>
          <w:szCs w:val="24"/>
        </w:rPr>
        <w:t>ed</w:t>
      </w:r>
      <w:r w:rsidRPr="00403E6A">
        <w:rPr>
          <w:rFonts w:ascii="Times New Roman" w:hAnsi="Times New Roman" w:cs="Times New Roman"/>
          <w:sz w:val="24"/>
          <w:szCs w:val="24"/>
        </w:rPr>
        <w:t xml:space="preserve"> the general economic health of the nation. U.S. health care spending was $3.8 trillion in 2019, amounting to almost 18 percent of the nation’s gross domestic product.</w:t>
      </w:r>
      <w:r w:rsidR="003E590B" w:rsidRPr="00403E6A">
        <w:rPr>
          <w:rStyle w:val="FootnoteReference"/>
          <w:rFonts w:ascii="Times New Roman" w:hAnsi="Times New Roman" w:cs="Times New Roman"/>
          <w:sz w:val="24"/>
          <w:szCs w:val="24"/>
        </w:rPr>
        <w:footnoteReference w:id="3"/>
      </w:r>
      <w:r w:rsidRPr="00403E6A">
        <w:rPr>
          <w:rFonts w:ascii="Times New Roman" w:hAnsi="Times New Roman" w:cs="Times New Roman"/>
          <w:sz w:val="24"/>
          <w:szCs w:val="24"/>
        </w:rPr>
        <w:t xml:space="preserve"> The more money that is tied up in the industry’s army of middlemen, the less there is available to be invested in economic growth for the public generally. Moreover, the financial health and stability of the Medicare Trust Fund is dire, given that it is projected to be depleted </w:t>
      </w:r>
      <w:r w:rsidR="009E522E" w:rsidRPr="00403E6A">
        <w:rPr>
          <w:rFonts w:ascii="Times New Roman" w:hAnsi="Times New Roman" w:cs="Times New Roman"/>
          <w:sz w:val="24"/>
          <w:szCs w:val="24"/>
        </w:rPr>
        <w:t>in</w:t>
      </w:r>
      <w:r w:rsidRPr="00403E6A">
        <w:rPr>
          <w:rFonts w:ascii="Times New Roman" w:hAnsi="Times New Roman" w:cs="Times New Roman"/>
          <w:sz w:val="24"/>
          <w:szCs w:val="24"/>
        </w:rPr>
        <w:t xml:space="preserve"> 2026.</w:t>
      </w:r>
      <w:r w:rsidR="00A87279" w:rsidRPr="00403E6A">
        <w:rPr>
          <w:rStyle w:val="FootnoteReference"/>
          <w:rFonts w:ascii="Times New Roman" w:hAnsi="Times New Roman" w:cs="Times New Roman"/>
          <w:sz w:val="24"/>
          <w:szCs w:val="24"/>
        </w:rPr>
        <w:footnoteReference w:id="4"/>
      </w:r>
      <w:r w:rsidRPr="00403E6A">
        <w:rPr>
          <w:rFonts w:ascii="Times New Roman" w:hAnsi="Times New Roman" w:cs="Times New Roman"/>
          <w:sz w:val="24"/>
          <w:szCs w:val="24"/>
        </w:rPr>
        <w:t xml:space="preserve"> Additionally, Social Security Trust Funds for old-age benefits and disability </w:t>
      </w:r>
      <w:r w:rsidRPr="00403E6A">
        <w:rPr>
          <w:rFonts w:ascii="Times New Roman" w:hAnsi="Times New Roman" w:cs="Times New Roman"/>
          <w:sz w:val="24"/>
          <w:szCs w:val="24"/>
        </w:rPr>
        <w:lastRenderedPageBreak/>
        <w:t>insurance, taken together, could be depleted in 2034.</w:t>
      </w:r>
      <w:r w:rsidR="0046440A" w:rsidRPr="00403E6A">
        <w:rPr>
          <w:rStyle w:val="FootnoteReference"/>
          <w:rFonts w:ascii="Times New Roman" w:hAnsi="Times New Roman" w:cs="Times New Roman"/>
          <w:sz w:val="24"/>
          <w:szCs w:val="24"/>
        </w:rPr>
        <w:footnoteReference w:id="5"/>
      </w:r>
      <w:r w:rsidRPr="00403E6A">
        <w:rPr>
          <w:rFonts w:ascii="Times New Roman" w:hAnsi="Times New Roman" w:cs="Times New Roman"/>
          <w:sz w:val="24"/>
          <w:szCs w:val="24"/>
        </w:rPr>
        <w:t xml:space="preserve"> </w:t>
      </w:r>
      <w:r w:rsidR="009F3DAF" w:rsidRPr="00403E6A">
        <w:rPr>
          <w:rFonts w:ascii="Times New Roman" w:hAnsi="Times New Roman" w:cs="Times New Roman"/>
          <w:sz w:val="24"/>
          <w:szCs w:val="24"/>
        </w:rPr>
        <w:t>T</w:t>
      </w:r>
      <w:r w:rsidRPr="00403E6A">
        <w:rPr>
          <w:rFonts w:ascii="Times New Roman" w:hAnsi="Times New Roman" w:cs="Times New Roman"/>
          <w:sz w:val="24"/>
          <w:szCs w:val="24"/>
        </w:rPr>
        <w:t>he</w:t>
      </w:r>
      <w:r w:rsidR="009C2D08" w:rsidRPr="00403E6A">
        <w:rPr>
          <w:rFonts w:ascii="Times New Roman" w:hAnsi="Times New Roman" w:cs="Times New Roman"/>
          <w:sz w:val="24"/>
          <w:szCs w:val="24"/>
        </w:rPr>
        <w:t>refore,</w:t>
      </w:r>
      <w:r w:rsidRPr="00403E6A">
        <w:rPr>
          <w:rFonts w:ascii="Times New Roman" w:hAnsi="Times New Roman" w:cs="Times New Roman"/>
          <w:sz w:val="24"/>
          <w:szCs w:val="24"/>
        </w:rPr>
        <w:t xml:space="preserve"> </w:t>
      </w:r>
      <w:r w:rsidR="009C2D08" w:rsidRPr="00403E6A">
        <w:rPr>
          <w:rFonts w:ascii="Times New Roman" w:hAnsi="Times New Roman" w:cs="Times New Roman"/>
          <w:sz w:val="24"/>
          <w:szCs w:val="24"/>
        </w:rPr>
        <w:t xml:space="preserve">the </w:t>
      </w:r>
      <w:r w:rsidR="005D200A" w:rsidRPr="00403E6A">
        <w:rPr>
          <w:rFonts w:ascii="Times New Roman" w:hAnsi="Times New Roman" w:cs="Times New Roman"/>
          <w:sz w:val="24"/>
          <w:szCs w:val="24"/>
        </w:rPr>
        <w:t xml:space="preserve">financial </w:t>
      </w:r>
      <w:r w:rsidR="009C2D08" w:rsidRPr="00403E6A">
        <w:rPr>
          <w:rFonts w:ascii="Times New Roman" w:hAnsi="Times New Roman" w:cs="Times New Roman"/>
          <w:sz w:val="24"/>
          <w:szCs w:val="24"/>
        </w:rPr>
        <w:t xml:space="preserve">viability of these </w:t>
      </w:r>
      <w:r w:rsidRPr="00403E6A">
        <w:rPr>
          <w:rFonts w:ascii="Times New Roman" w:hAnsi="Times New Roman" w:cs="Times New Roman"/>
          <w:sz w:val="24"/>
          <w:szCs w:val="24"/>
        </w:rPr>
        <w:t xml:space="preserve">safety net programs </w:t>
      </w:r>
      <w:r w:rsidR="009C2D08" w:rsidRPr="00403E6A">
        <w:rPr>
          <w:rFonts w:ascii="Times New Roman" w:hAnsi="Times New Roman" w:cs="Times New Roman"/>
          <w:sz w:val="24"/>
          <w:szCs w:val="24"/>
        </w:rPr>
        <w:t>carr</w:t>
      </w:r>
      <w:r w:rsidR="00C90BB5" w:rsidRPr="00403E6A">
        <w:rPr>
          <w:rFonts w:ascii="Times New Roman" w:hAnsi="Times New Roman" w:cs="Times New Roman"/>
          <w:sz w:val="24"/>
          <w:szCs w:val="24"/>
        </w:rPr>
        <w:t>ies</w:t>
      </w:r>
      <w:r w:rsidR="009C2D08" w:rsidRPr="00403E6A">
        <w:rPr>
          <w:rFonts w:ascii="Times New Roman" w:hAnsi="Times New Roman" w:cs="Times New Roman"/>
          <w:sz w:val="24"/>
          <w:szCs w:val="24"/>
        </w:rPr>
        <w:t xml:space="preserve"> </w:t>
      </w:r>
      <w:r w:rsidR="000912E0" w:rsidRPr="00403E6A">
        <w:rPr>
          <w:rFonts w:ascii="Times New Roman" w:hAnsi="Times New Roman" w:cs="Times New Roman"/>
          <w:sz w:val="24"/>
          <w:szCs w:val="24"/>
        </w:rPr>
        <w:t xml:space="preserve">obvious </w:t>
      </w:r>
      <w:r w:rsidR="00CD0862" w:rsidRPr="00403E6A">
        <w:rPr>
          <w:rFonts w:ascii="Times New Roman" w:hAnsi="Times New Roman" w:cs="Times New Roman"/>
          <w:sz w:val="24"/>
          <w:szCs w:val="24"/>
        </w:rPr>
        <w:t>macro</w:t>
      </w:r>
      <w:r w:rsidR="000912E0" w:rsidRPr="00403E6A">
        <w:rPr>
          <w:rFonts w:ascii="Times New Roman" w:hAnsi="Times New Roman" w:cs="Times New Roman"/>
          <w:sz w:val="24"/>
          <w:szCs w:val="24"/>
        </w:rPr>
        <w:t xml:space="preserve">economic importance. </w:t>
      </w:r>
    </w:p>
    <w:p w14:paraId="7E608109" w14:textId="10AA8D8C" w:rsidR="007D3E41" w:rsidRPr="00403E6A" w:rsidRDefault="00B013E9" w:rsidP="0069133E">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r>
      <w:r w:rsidR="00535C17" w:rsidRPr="00403E6A">
        <w:rPr>
          <w:rFonts w:ascii="Times New Roman" w:hAnsi="Times New Roman" w:cs="Times New Roman"/>
          <w:sz w:val="24"/>
          <w:szCs w:val="24"/>
        </w:rPr>
        <w:t xml:space="preserve">Understanding the </w:t>
      </w:r>
      <w:r w:rsidR="001E1342" w:rsidRPr="00403E6A">
        <w:rPr>
          <w:rFonts w:ascii="Times New Roman" w:hAnsi="Times New Roman" w:cs="Times New Roman"/>
          <w:sz w:val="24"/>
          <w:szCs w:val="24"/>
        </w:rPr>
        <w:t>origins of these high costs ha</w:t>
      </w:r>
      <w:r w:rsidR="004A49E7" w:rsidRPr="00403E6A">
        <w:rPr>
          <w:rFonts w:ascii="Times New Roman" w:hAnsi="Times New Roman" w:cs="Times New Roman"/>
          <w:sz w:val="24"/>
          <w:szCs w:val="24"/>
        </w:rPr>
        <w:t>s</w:t>
      </w:r>
      <w:r w:rsidR="001E1342" w:rsidRPr="00403E6A">
        <w:rPr>
          <w:rFonts w:ascii="Times New Roman" w:hAnsi="Times New Roman" w:cs="Times New Roman"/>
          <w:sz w:val="24"/>
          <w:szCs w:val="24"/>
        </w:rPr>
        <w:t xml:space="preserve"> been </w:t>
      </w:r>
      <w:r w:rsidR="00CD068C" w:rsidRPr="00403E6A">
        <w:rPr>
          <w:rFonts w:ascii="Times New Roman" w:hAnsi="Times New Roman" w:cs="Times New Roman"/>
          <w:sz w:val="24"/>
          <w:szCs w:val="24"/>
        </w:rPr>
        <w:t xml:space="preserve">one of consistent and rigorous </w:t>
      </w:r>
      <w:r w:rsidR="002F1840" w:rsidRPr="00403E6A">
        <w:rPr>
          <w:rFonts w:ascii="Times New Roman" w:hAnsi="Times New Roman" w:cs="Times New Roman"/>
          <w:sz w:val="24"/>
          <w:szCs w:val="24"/>
        </w:rPr>
        <w:t>study</w:t>
      </w:r>
      <w:r w:rsidR="00CD068C" w:rsidRPr="00403E6A">
        <w:rPr>
          <w:rFonts w:ascii="Times New Roman" w:hAnsi="Times New Roman" w:cs="Times New Roman"/>
          <w:sz w:val="24"/>
          <w:szCs w:val="24"/>
        </w:rPr>
        <w:t>.</w:t>
      </w:r>
      <w:r w:rsidR="002170FD" w:rsidRPr="00403E6A">
        <w:rPr>
          <w:rFonts w:ascii="Times New Roman" w:hAnsi="Times New Roman" w:cs="Times New Roman"/>
          <w:sz w:val="24"/>
          <w:szCs w:val="24"/>
        </w:rPr>
        <w:t xml:space="preserve"> </w:t>
      </w:r>
      <w:r w:rsidR="007C2A68" w:rsidRPr="00403E6A">
        <w:rPr>
          <w:rFonts w:ascii="Times New Roman" w:hAnsi="Times New Roman" w:cs="Times New Roman"/>
          <w:sz w:val="24"/>
          <w:szCs w:val="24"/>
        </w:rPr>
        <w:t>This is because</w:t>
      </w:r>
      <w:r w:rsidR="00E91212">
        <w:rPr>
          <w:rFonts w:ascii="Times New Roman" w:hAnsi="Times New Roman" w:cs="Times New Roman"/>
          <w:sz w:val="24"/>
          <w:szCs w:val="24"/>
        </w:rPr>
        <w:t>,</w:t>
      </w:r>
      <w:r w:rsidR="007C2A68" w:rsidRPr="00403E6A">
        <w:rPr>
          <w:rFonts w:ascii="Times New Roman" w:hAnsi="Times New Roman" w:cs="Times New Roman"/>
          <w:sz w:val="24"/>
          <w:szCs w:val="24"/>
        </w:rPr>
        <w:t xml:space="preserve"> </w:t>
      </w:r>
      <w:r w:rsidR="00360AD8" w:rsidRPr="00403E6A">
        <w:rPr>
          <w:rFonts w:ascii="Times New Roman" w:hAnsi="Times New Roman" w:cs="Times New Roman"/>
          <w:sz w:val="24"/>
          <w:szCs w:val="24"/>
        </w:rPr>
        <w:t xml:space="preserve">generally, when patients </w:t>
      </w:r>
      <w:r w:rsidR="008C3491" w:rsidRPr="00403E6A">
        <w:rPr>
          <w:rFonts w:ascii="Times New Roman" w:hAnsi="Times New Roman" w:cs="Times New Roman"/>
          <w:sz w:val="24"/>
          <w:szCs w:val="24"/>
        </w:rPr>
        <w:t>are forced to</w:t>
      </w:r>
      <w:r w:rsidR="00360AD8" w:rsidRPr="00403E6A">
        <w:rPr>
          <w:rFonts w:ascii="Times New Roman" w:hAnsi="Times New Roman" w:cs="Times New Roman"/>
          <w:sz w:val="24"/>
          <w:szCs w:val="24"/>
        </w:rPr>
        <w:t xml:space="preserve"> pay more for </w:t>
      </w:r>
      <w:r w:rsidR="00275F75" w:rsidRPr="00403E6A">
        <w:rPr>
          <w:rFonts w:ascii="Times New Roman" w:hAnsi="Times New Roman" w:cs="Times New Roman"/>
          <w:sz w:val="24"/>
          <w:szCs w:val="24"/>
        </w:rPr>
        <w:t>health care, they are less likely to access treatment.</w:t>
      </w:r>
      <w:r w:rsidR="008E587A" w:rsidRPr="00403E6A">
        <w:rPr>
          <w:rStyle w:val="FootnoteReference"/>
          <w:rFonts w:ascii="Times New Roman" w:hAnsi="Times New Roman" w:cs="Times New Roman"/>
          <w:sz w:val="24"/>
          <w:szCs w:val="24"/>
        </w:rPr>
        <w:footnoteReference w:id="6"/>
      </w:r>
      <w:r w:rsidR="00275F75" w:rsidRPr="00403E6A">
        <w:rPr>
          <w:rFonts w:ascii="Times New Roman" w:hAnsi="Times New Roman" w:cs="Times New Roman"/>
          <w:sz w:val="24"/>
          <w:szCs w:val="24"/>
        </w:rPr>
        <w:t xml:space="preserve"> </w:t>
      </w:r>
      <w:r w:rsidR="00885F53" w:rsidRPr="00403E6A">
        <w:rPr>
          <w:rFonts w:ascii="Times New Roman" w:hAnsi="Times New Roman" w:cs="Times New Roman"/>
          <w:sz w:val="24"/>
          <w:szCs w:val="24"/>
        </w:rPr>
        <w:t>T</w:t>
      </w:r>
      <w:r w:rsidR="00415A02" w:rsidRPr="00403E6A">
        <w:rPr>
          <w:rFonts w:ascii="Times New Roman" w:hAnsi="Times New Roman" w:cs="Times New Roman"/>
          <w:sz w:val="24"/>
          <w:szCs w:val="24"/>
        </w:rPr>
        <w:t xml:space="preserve">his </w:t>
      </w:r>
      <w:r w:rsidR="001D6E94" w:rsidRPr="00403E6A">
        <w:rPr>
          <w:rFonts w:ascii="Times New Roman" w:hAnsi="Times New Roman" w:cs="Times New Roman"/>
          <w:sz w:val="24"/>
          <w:szCs w:val="24"/>
        </w:rPr>
        <w:t xml:space="preserve">conundrum </w:t>
      </w:r>
      <w:r w:rsidR="00D243CF" w:rsidRPr="00403E6A">
        <w:rPr>
          <w:rFonts w:ascii="Times New Roman" w:hAnsi="Times New Roman" w:cs="Times New Roman"/>
          <w:sz w:val="24"/>
          <w:szCs w:val="24"/>
        </w:rPr>
        <w:t xml:space="preserve">drives </w:t>
      </w:r>
      <w:r w:rsidR="00A51580" w:rsidRPr="00403E6A">
        <w:rPr>
          <w:rFonts w:ascii="Times New Roman" w:hAnsi="Times New Roman" w:cs="Times New Roman"/>
          <w:sz w:val="24"/>
          <w:szCs w:val="24"/>
        </w:rPr>
        <w:t>patients</w:t>
      </w:r>
      <w:r w:rsidR="00E91212">
        <w:rPr>
          <w:rFonts w:ascii="Times New Roman" w:hAnsi="Times New Roman" w:cs="Times New Roman"/>
          <w:sz w:val="24"/>
          <w:szCs w:val="24"/>
        </w:rPr>
        <w:t>’ reluctance</w:t>
      </w:r>
      <w:r w:rsidR="00A51580" w:rsidRPr="00403E6A">
        <w:rPr>
          <w:rFonts w:ascii="Times New Roman" w:hAnsi="Times New Roman" w:cs="Times New Roman"/>
          <w:sz w:val="24"/>
          <w:szCs w:val="24"/>
        </w:rPr>
        <w:t xml:space="preserve"> </w:t>
      </w:r>
      <w:r w:rsidR="00641E45" w:rsidRPr="00403E6A">
        <w:rPr>
          <w:rFonts w:ascii="Times New Roman" w:hAnsi="Times New Roman" w:cs="Times New Roman"/>
          <w:sz w:val="24"/>
          <w:szCs w:val="24"/>
        </w:rPr>
        <w:t>to consume preventative treatment</w:t>
      </w:r>
      <w:r w:rsidR="004A0360" w:rsidRPr="00403E6A">
        <w:rPr>
          <w:rFonts w:ascii="Times New Roman" w:hAnsi="Times New Roman" w:cs="Times New Roman"/>
          <w:sz w:val="24"/>
          <w:szCs w:val="24"/>
        </w:rPr>
        <w:t>s</w:t>
      </w:r>
      <w:r w:rsidR="00641E45" w:rsidRPr="00403E6A">
        <w:rPr>
          <w:rFonts w:ascii="Times New Roman" w:hAnsi="Times New Roman" w:cs="Times New Roman"/>
          <w:sz w:val="24"/>
          <w:szCs w:val="24"/>
        </w:rPr>
        <w:t xml:space="preserve">, </w:t>
      </w:r>
      <w:r w:rsidR="004A0360" w:rsidRPr="00403E6A">
        <w:rPr>
          <w:rFonts w:ascii="Times New Roman" w:hAnsi="Times New Roman" w:cs="Times New Roman"/>
          <w:sz w:val="24"/>
          <w:szCs w:val="24"/>
        </w:rPr>
        <w:t xml:space="preserve">which </w:t>
      </w:r>
      <w:r w:rsidR="00E810DA" w:rsidRPr="00403E6A">
        <w:rPr>
          <w:rFonts w:ascii="Times New Roman" w:hAnsi="Times New Roman" w:cs="Times New Roman"/>
          <w:sz w:val="24"/>
          <w:szCs w:val="24"/>
        </w:rPr>
        <w:t xml:space="preserve">in turn </w:t>
      </w:r>
      <w:r w:rsidR="00E706CA" w:rsidRPr="00403E6A">
        <w:rPr>
          <w:rFonts w:ascii="Times New Roman" w:hAnsi="Times New Roman" w:cs="Times New Roman"/>
          <w:sz w:val="24"/>
          <w:szCs w:val="24"/>
        </w:rPr>
        <w:t xml:space="preserve">enhances the </w:t>
      </w:r>
      <w:r w:rsidR="00686C58" w:rsidRPr="00403E6A">
        <w:rPr>
          <w:rFonts w:ascii="Times New Roman" w:hAnsi="Times New Roman" w:cs="Times New Roman"/>
          <w:sz w:val="24"/>
          <w:szCs w:val="24"/>
        </w:rPr>
        <w:t xml:space="preserve">seriousness of </w:t>
      </w:r>
      <w:r w:rsidR="00A51580" w:rsidRPr="00403E6A">
        <w:rPr>
          <w:rFonts w:ascii="Times New Roman" w:hAnsi="Times New Roman" w:cs="Times New Roman"/>
          <w:sz w:val="24"/>
          <w:szCs w:val="24"/>
        </w:rPr>
        <w:t xml:space="preserve">their </w:t>
      </w:r>
      <w:r w:rsidR="00686C58" w:rsidRPr="00403E6A">
        <w:rPr>
          <w:rFonts w:ascii="Times New Roman" w:hAnsi="Times New Roman" w:cs="Times New Roman"/>
          <w:sz w:val="24"/>
          <w:szCs w:val="24"/>
        </w:rPr>
        <w:t xml:space="preserve">health </w:t>
      </w:r>
      <w:r w:rsidR="004C3EBC" w:rsidRPr="00403E6A">
        <w:rPr>
          <w:rFonts w:ascii="Times New Roman" w:hAnsi="Times New Roman" w:cs="Times New Roman"/>
          <w:sz w:val="24"/>
          <w:szCs w:val="24"/>
        </w:rPr>
        <w:t>episodes</w:t>
      </w:r>
      <w:r w:rsidR="00A51580" w:rsidRPr="00403E6A">
        <w:rPr>
          <w:rFonts w:ascii="Times New Roman" w:hAnsi="Times New Roman" w:cs="Times New Roman"/>
          <w:sz w:val="24"/>
          <w:szCs w:val="24"/>
        </w:rPr>
        <w:t>.</w:t>
      </w:r>
      <w:r w:rsidR="00A34092" w:rsidRPr="00403E6A">
        <w:rPr>
          <w:rStyle w:val="FootnoteReference"/>
          <w:rFonts w:ascii="Times New Roman" w:hAnsi="Times New Roman" w:cs="Times New Roman"/>
          <w:sz w:val="24"/>
          <w:szCs w:val="24"/>
        </w:rPr>
        <w:footnoteReference w:id="7"/>
      </w:r>
      <w:r w:rsidR="00A34092" w:rsidRPr="00403E6A">
        <w:rPr>
          <w:rFonts w:ascii="Times New Roman" w:hAnsi="Times New Roman" w:cs="Times New Roman"/>
          <w:sz w:val="24"/>
          <w:szCs w:val="24"/>
        </w:rPr>
        <w:t xml:space="preserve"> </w:t>
      </w:r>
      <w:r w:rsidR="009B22A2" w:rsidRPr="00403E6A">
        <w:rPr>
          <w:rFonts w:ascii="Times New Roman" w:hAnsi="Times New Roman" w:cs="Times New Roman"/>
          <w:sz w:val="24"/>
          <w:szCs w:val="24"/>
        </w:rPr>
        <w:t xml:space="preserve">As health episodes become more dire, </w:t>
      </w:r>
      <w:r w:rsidR="001F1C1A" w:rsidRPr="00403E6A">
        <w:rPr>
          <w:rFonts w:ascii="Times New Roman" w:hAnsi="Times New Roman" w:cs="Times New Roman"/>
          <w:sz w:val="24"/>
          <w:szCs w:val="24"/>
        </w:rPr>
        <w:t xml:space="preserve">the intensity of </w:t>
      </w:r>
      <w:r w:rsidR="00E91212">
        <w:rPr>
          <w:rFonts w:ascii="Times New Roman" w:hAnsi="Times New Roman" w:cs="Times New Roman"/>
          <w:sz w:val="24"/>
          <w:szCs w:val="24"/>
        </w:rPr>
        <w:t xml:space="preserve">costs increase alongside the intensity of services </w:t>
      </w:r>
      <w:r w:rsidR="001F1C1A" w:rsidRPr="00403E6A">
        <w:rPr>
          <w:rFonts w:ascii="Times New Roman" w:hAnsi="Times New Roman" w:cs="Times New Roman"/>
          <w:sz w:val="24"/>
          <w:szCs w:val="24"/>
        </w:rPr>
        <w:t>provided</w:t>
      </w:r>
      <w:r w:rsidR="009B22A2" w:rsidRPr="00403E6A">
        <w:rPr>
          <w:rFonts w:ascii="Times New Roman" w:hAnsi="Times New Roman" w:cs="Times New Roman"/>
          <w:sz w:val="24"/>
          <w:szCs w:val="24"/>
        </w:rPr>
        <w:t>.</w:t>
      </w:r>
      <w:r w:rsidR="00DE7AEA" w:rsidRPr="00403E6A">
        <w:rPr>
          <w:rStyle w:val="FootnoteReference"/>
          <w:rFonts w:ascii="Times New Roman" w:hAnsi="Times New Roman" w:cs="Times New Roman"/>
          <w:sz w:val="24"/>
          <w:szCs w:val="24"/>
        </w:rPr>
        <w:footnoteReference w:id="8"/>
      </w:r>
      <w:r w:rsidR="009B22A2" w:rsidRPr="00403E6A">
        <w:rPr>
          <w:rFonts w:ascii="Times New Roman" w:hAnsi="Times New Roman" w:cs="Times New Roman"/>
          <w:sz w:val="24"/>
          <w:szCs w:val="24"/>
        </w:rPr>
        <w:t xml:space="preserve"> </w:t>
      </w:r>
      <w:r w:rsidR="00477B98" w:rsidRPr="00403E6A">
        <w:rPr>
          <w:rFonts w:ascii="Times New Roman" w:hAnsi="Times New Roman" w:cs="Times New Roman"/>
          <w:sz w:val="24"/>
          <w:szCs w:val="24"/>
        </w:rPr>
        <w:t xml:space="preserve">It is </w:t>
      </w:r>
      <w:r w:rsidR="002D3903" w:rsidRPr="00403E6A">
        <w:rPr>
          <w:rFonts w:ascii="Times New Roman" w:hAnsi="Times New Roman" w:cs="Times New Roman"/>
          <w:sz w:val="24"/>
          <w:szCs w:val="24"/>
        </w:rPr>
        <w:t xml:space="preserve">important </w:t>
      </w:r>
      <w:r w:rsidR="00477B98" w:rsidRPr="00403E6A">
        <w:rPr>
          <w:rFonts w:ascii="Times New Roman" w:hAnsi="Times New Roman" w:cs="Times New Roman"/>
          <w:sz w:val="24"/>
          <w:szCs w:val="24"/>
        </w:rPr>
        <w:t xml:space="preserve">to </w:t>
      </w:r>
      <w:r w:rsidR="004F311B" w:rsidRPr="00403E6A">
        <w:rPr>
          <w:rFonts w:ascii="Times New Roman" w:hAnsi="Times New Roman" w:cs="Times New Roman"/>
          <w:sz w:val="24"/>
          <w:szCs w:val="24"/>
        </w:rPr>
        <w:t xml:space="preserve">define “costs” as they pertain </w:t>
      </w:r>
      <w:r w:rsidR="00477B98" w:rsidRPr="00403E6A">
        <w:rPr>
          <w:rFonts w:ascii="Times New Roman" w:hAnsi="Times New Roman" w:cs="Times New Roman"/>
          <w:sz w:val="24"/>
          <w:szCs w:val="24"/>
        </w:rPr>
        <w:t xml:space="preserve">to patients and providers. </w:t>
      </w:r>
      <w:r w:rsidR="00131618" w:rsidRPr="00403E6A">
        <w:rPr>
          <w:rFonts w:ascii="Times New Roman" w:hAnsi="Times New Roman" w:cs="Times New Roman"/>
          <w:sz w:val="24"/>
          <w:szCs w:val="24"/>
        </w:rPr>
        <w:t xml:space="preserve">Costs to patients typically include premiums paid to insurers and out of pocket expenses paid to providers. </w:t>
      </w:r>
      <w:r w:rsidR="005C5273" w:rsidRPr="00403E6A">
        <w:rPr>
          <w:rFonts w:ascii="Times New Roman" w:hAnsi="Times New Roman" w:cs="Times New Roman"/>
          <w:sz w:val="24"/>
          <w:szCs w:val="24"/>
        </w:rPr>
        <w:t xml:space="preserve">Costs to providers are typically related to </w:t>
      </w:r>
      <w:r w:rsidR="0046717E" w:rsidRPr="00403E6A">
        <w:rPr>
          <w:rFonts w:ascii="Times New Roman" w:hAnsi="Times New Roman" w:cs="Times New Roman"/>
          <w:sz w:val="24"/>
          <w:szCs w:val="24"/>
        </w:rPr>
        <w:t xml:space="preserve">service and product </w:t>
      </w:r>
      <w:r w:rsidR="00DF6CF1" w:rsidRPr="00403E6A">
        <w:rPr>
          <w:rFonts w:ascii="Times New Roman" w:hAnsi="Times New Roman" w:cs="Times New Roman"/>
          <w:sz w:val="24"/>
          <w:szCs w:val="24"/>
        </w:rPr>
        <w:t>operating expenses</w:t>
      </w:r>
      <w:r w:rsidR="007D3E41" w:rsidRPr="00403E6A">
        <w:rPr>
          <w:rFonts w:ascii="Times New Roman" w:hAnsi="Times New Roman" w:cs="Times New Roman"/>
          <w:sz w:val="24"/>
          <w:szCs w:val="24"/>
        </w:rPr>
        <w:t>.</w:t>
      </w:r>
    </w:p>
    <w:p w14:paraId="513658E1" w14:textId="32D5155C" w:rsidR="00A731B8" w:rsidRPr="00403E6A" w:rsidRDefault="007D3E41" w:rsidP="0069133E">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r>
      <w:r w:rsidR="00CD068C" w:rsidRPr="00403E6A">
        <w:rPr>
          <w:rFonts w:ascii="Times New Roman" w:hAnsi="Times New Roman" w:cs="Times New Roman"/>
          <w:sz w:val="24"/>
          <w:szCs w:val="24"/>
        </w:rPr>
        <w:t>A</w:t>
      </w:r>
      <w:r w:rsidR="005A4CA1" w:rsidRPr="00403E6A">
        <w:rPr>
          <w:rFonts w:ascii="Times New Roman" w:hAnsi="Times New Roman" w:cs="Times New Roman"/>
          <w:sz w:val="24"/>
          <w:szCs w:val="24"/>
        </w:rPr>
        <w:t xml:space="preserve">ccording to a study </w:t>
      </w:r>
      <w:r w:rsidR="00D71C8B" w:rsidRPr="00403E6A">
        <w:rPr>
          <w:rFonts w:ascii="Times New Roman" w:hAnsi="Times New Roman" w:cs="Times New Roman"/>
          <w:sz w:val="24"/>
          <w:szCs w:val="24"/>
        </w:rPr>
        <w:t xml:space="preserve">that analyzed </w:t>
      </w:r>
      <w:r w:rsidR="00234BBC" w:rsidRPr="00403E6A">
        <w:rPr>
          <w:rFonts w:ascii="Times New Roman" w:hAnsi="Times New Roman" w:cs="Times New Roman"/>
          <w:sz w:val="24"/>
          <w:szCs w:val="24"/>
        </w:rPr>
        <w:t xml:space="preserve">the </w:t>
      </w:r>
      <w:r w:rsidR="005A4CA1" w:rsidRPr="00403E6A">
        <w:rPr>
          <w:rFonts w:ascii="Times New Roman" w:hAnsi="Times New Roman" w:cs="Times New Roman"/>
          <w:sz w:val="24"/>
          <w:szCs w:val="24"/>
        </w:rPr>
        <w:t xml:space="preserve">five </w:t>
      </w:r>
      <w:r w:rsidR="00234BBC" w:rsidRPr="00403E6A">
        <w:rPr>
          <w:rFonts w:ascii="Times New Roman" w:hAnsi="Times New Roman" w:cs="Times New Roman"/>
          <w:sz w:val="24"/>
          <w:szCs w:val="24"/>
        </w:rPr>
        <w:t>most prevalent cost drivers</w:t>
      </w:r>
      <w:r w:rsidR="002F726F" w:rsidRPr="00403E6A">
        <w:rPr>
          <w:rFonts w:ascii="Times New Roman" w:hAnsi="Times New Roman" w:cs="Times New Roman"/>
          <w:sz w:val="24"/>
          <w:szCs w:val="24"/>
        </w:rPr>
        <w:t xml:space="preserve"> </w:t>
      </w:r>
      <w:r w:rsidR="002749BC" w:rsidRPr="00403E6A">
        <w:rPr>
          <w:rFonts w:ascii="Times New Roman" w:hAnsi="Times New Roman" w:cs="Times New Roman"/>
          <w:sz w:val="24"/>
          <w:szCs w:val="24"/>
        </w:rPr>
        <w:t xml:space="preserve">for </w:t>
      </w:r>
      <w:r w:rsidR="002F726F" w:rsidRPr="00403E6A">
        <w:rPr>
          <w:rFonts w:ascii="Times New Roman" w:hAnsi="Times New Roman" w:cs="Times New Roman"/>
          <w:sz w:val="24"/>
          <w:szCs w:val="24"/>
        </w:rPr>
        <w:t>patients</w:t>
      </w:r>
      <w:r w:rsidR="005A4CA1" w:rsidRPr="00403E6A">
        <w:rPr>
          <w:rFonts w:ascii="Times New Roman" w:hAnsi="Times New Roman" w:cs="Times New Roman"/>
          <w:sz w:val="24"/>
          <w:szCs w:val="24"/>
        </w:rPr>
        <w:t>—population growth, population aging, disease prevalence or incidence, service utilization, and service price and intensity</w:t>
      </w:r>
      <w:r w:rsidR="005A4CA1" w:rsidRPr="00403E6A">
        <w:rPr>
          <w:rFonts w:ascii="Helvetica" w:hAnsi="Helvetica" w:cs="Helvetica"/>
        </w:rPr>
        <w:t>—</w:t>
      </w:r>
      <w:r w:rsidR="005A690D" w:rsidRPr="00403E6A">
        <w:rPr>
          <w:rFonts w:ascii="Times New Roman" w:hAnsi="Times New Roman" w:cs="Times New Roman"/>
          <w:sz w:val="24"/>
          <w:szCs w:val="24"/>
        </w:rPr>
        <w:t>increases in health care prices have been more strongly associated with overall increases in health care spending than any other suggested factor.</w:t>
      </w:r>
      <w:r w:rsidR="002809BB" w:rsidRPr="00403E6A">
        <w:rPr>
          <w:rStyle w:val="FootnoteReference"/>
          <w:rFonts w:ascii="Times New Roman" w:hAnsi="Times New Roman" w:cs="Times New Roman"/>
          <w:sz w:val="24"/>
          <w:szCs w:val="24"/>
        </w:rPr>
        <w:footnoteReference w:id="9"/>
      </w:r>
      <w:r w:rsidR="005A690D" w:rsidRPr="00403E6A">
        <w:rPr>
          <w:rFonts w:ascii="Times New Roman" w:hAnsi="Times New Roman" w:cs="Times New Roman"/>
          <w:sz w:val="24"/>
          <w:szCs w:val="24"/>
        </w:rPr>
        <w:t xml:space="preserve"> </w:t>
      </w:r>
      <w:r w:rsidR="009906D2" w:rsidRPr="00403E6A">
        <w:rPr>
          <w:rFonts w:ascii="Times New Roman" w:hAnsi="Times New Roman" w:cs="Times New Roman"/>
          <w:sz w:val="24"/>
          <w:szCs w:val="24"/>
        </w:rPr>
        <w:t xml:space="preserve">The </w:t>
      </w:r>
      <w:r w:rsidR="006C041B" w:rsidRPr="00403E6A">
        <w:rPr>
          <w:rFonts w:ascii="Times New Roman" w:hAnsi="Times New Roman" w:cs="Times New Roman"/>
          <w:sz w:val="24"/>
          <w:szCs w:val="24"/>
        </w:rPr>
        <w:t xml:space="preserve">study’s </w:t>
      </w:r>
      <w:r w:rsidR="002B3346" w:rsidRPr="00403E6A">
        <w:rPr>
          <w:rFonts w:ascii="Times New Roman" w:hAnsi="Times New Roman" w:cs="Times New Roman"/>
          <w:sz w:val="24"/>
          <w:szCs w:val="24"/>
        </w:rPr>
        <w:t xml:space="preserve">definition of </w:t>
      </w:r>
      <w:r w:rsidR="00A11B39" w:rsidRPr="00403E6A">
        <w:rPr>
          <w:rFonts w:ascii="Times New Roman" w:hAnsi="Times New Roman" w:cs="Times New Roman"/>
          <w:sz w:val="24"/>
          <w:szCs w:val="24"/>
        </w:rPr>
        <w:t>“</w:t>
      </w:r>
      <w:r w:rsidR="00AF1953" w:rsidRPr="00403E6A">
        <w:rPr>
          <w:rFonts w:ascii="Times New Roman" w:hAnsi="Times New Roman" w:cs="Times New Roman"/>
          <w:sz w:val="24"/>
          <w:szCs w:val="24"/>
        </w:rPr>
        <w:t>service price and intensity</w:t>
      </w:r>
      <w:r w:rsidR="00A11B39" w:rsidRPr="00403E6A">
        <w:rPr>
          <w:rFonts w:ascii="Times New Roman" w:hAnsi="Times New Roman" w:cs="Times New Roman"/>
          <w:sz w:val="24"/>
          <w:szCs w:val="24"/>
        </w:rPr>
        <w:t>”</w:t>
      </w:r>
      <w:r w:rsidR="00AF1953" w:rsidRPr="00403E6A">
        <w:rPr>
          <w:rFonts w:ascii="Times New Roman" w:hAnsi="Times New Roman" w:cs="Times New Roman"/>
          <w:sz w:val="24"/>
          <w:szCs w:val="24"/>
        </w:rPr>
        <w:t xml:space="preserve"> </w:t>
      </w:r>
      <w:r w:rsidR="002B3346" w:rsidRPr="00403E6A">
        <w:rPr>
          <w:rFonts w:ascii="Times New Roman" w:hAnsi="Times New Roman" w:cs="Times New Roman"/>
          <w:sz w:val="24"/>
          <w:szCs w:val="24"/>
        </w:rPr>
        <w:t xml:space="preserve">depended </w:t>
      </w:r>
      <w:r w:rsidR="00385168" w:rsidRPr="00403E6A">
        <w:rPr>
          <w:rFonts w:ascii="Times New Roman" w:hAnsi="Times New Roman" w:cs="Times New Roman"/>
          <w:sz w:val="24"/>
          <w:szCs w:val="24"/>
        </w:rPr>
        <w:t>upon</w:t>
      </w:r>
      <w:r w:rsidR="00F64E31" w:rsidRPr="00403E6A">
        <w:rPr>
          <w:rFonts w:ascii="Times New Roman" w:hAnsi="Times New Roman" w:cs="Times New Roman"/>
          <w:sz w:val="24"/>
          <w:szCs w:val="24"/>
        </w:rPr>
        <w:t xml:space="preserve"> the </w:t>
      </w:r>
      <w:r w:rsidR="00FD765A" w:rsidRPr="00403E6A">
        <w:rPr>
          <w:rFonts w:ascii="Times New Roman" w:hAnsi="Times New Roman" w:cs="Times New Roman"/>
          <w:sz w:val="24"/>
          <w:szCs w:val="24"/>
        </w:rPr>
        <w:t>type of health care service provided</w:t>
      </w:r>
      <w:r w:rsidR="00F64E31" w:rsidRPr="00403E6A">
        <w:rPr>
          <w:rFonts w:ascii="Times New Roman" w:hAnsi="Times New Roman" w:cs="Times New Roman"/>
          <w:sz w:val="24"/>
          <w:szCs w:val="24"/>
        </w:rPr>
        <w:t>.</w:t>
      </w:r>
      <w:r w:rsidR="00D75AEB" w:rsidRPr="00403E6A">
        <w:rPr>
          <w:rFonts w:ascii="Times New Roman" w:hAnsi="Times New Roman" w:cs="Times New Roman"/>
          <w:sz w:val="24"/>
          <w:szCs w:val="24"/>
        </w:rPr>
        <w:t xml:space="preserve"> For example, </w:t>
      </w:r>
      <w:r w:rsidR="00FD765A" w:rsidRPr="00403E6A">
        <w:rPr>
          <w:rFonts w:ascii="Times New Roman" w:hAnsi="Times New Roman" w:cs="Times New Roman"/>
          <w:sz w:val="24"/>
          <w:szCs w:val="24"/>
        </w:rPr>
        <w:t xml:space="preserve">for </w:t>
      </w:r>
      <w:r w:rsidR="00D75AEB" w:rsidRPr="00403E6A">
        <w:rPr>
          <w:rFonts w:ascii="Times New Roman" w:hAnsi="Times New Roman" w:cs="Times New Roman"/>
          <w:sz w:val="24"/>
          <w:szCs w:val="24"/>
        </w:rPr>
        <w:t xml:space="preserve">ambulatory, emergency department, and dental care, </w:t>
      </w:r>
      <w:r w:rsidR="00A11B39" w:rsidRPr="00403E6A">
        <w:rPr>
          <w:rFonts w:ascii="Times New Roman" w:hAnsi="Times New Roman" w:cs="Times New Roman"/>
          <w:sz w:val="24"/>
          <w:szCs w:val="24"/>
        </w:rPr>
        <w:t>“</w:t>
      </w:r>
      <w:r w:rsidR="00D75AEB" w:rsidRPr="00403E6A">
        <w:rPr>
          <w:rFonts w:ascii="Times New Roman" w:hAnsi="Times New Roman" w:cs="Times New Roman"/>
          <w:sz w:val="24"/>
          <w:szCs w:val="24"/>
        </w:rPr>
        <w:t>service price and intensity</w:t>
      </w:r>
      <w:r w:rsidR="00A11B39" w:rsidRPr="00403E6A">
        <w:rPr>
          <w:rFonts w:ascii="Times New Roman" w:hAnsi="Times New Roman" w:cs="Times New Roman"/>
          <w:sz w:val="24"/>
          <w:szCs w:val="24"/>
        </w:rPr>
        <w:t>”</w:t>
      </w:r>
      <w:r w:rsidR="00D75AEB" w:rsidRPr="00403E6A">
        <w:rPr>
          <w:rFonts w:ascii="Times New Roman" w:hAnsi="Times New Roman" w:cs="Times New Roman"/>
          <w:sz w:val="24"/>
          <w:szCs w:val="24"/>
        </w:rPr>
        <w:t xml:space="preserve"> was </w:t>
      </w:r>
      <w:r w:rsidR="00A11B39" w:rsidRPr="00403E6A">
        <w:rPr>
          <w:rFonts w:ascii="Times New Roman" w:hAnsi="Times New Roman" w:cs="Times New Roman"/>
          <w:sz w:val="24"/>
          <w:szCs w:val="24"/>
        </w:rPr>
        <w:t xml:space="preserve">defined as </w:t>
      </w:r>
      <w:r w:rsidR="00D75AEB" w:rsidRPr="00403E6A">
        <w:rPr>
          <w:rFonts w:ascii="Times New Roman" w:hAnsi="Times New Roman" w:cs="Times New Roman"/>
          <w:sz w:val="24"/>
          <w:szCs w:val="24"/>
        </w:rPr>
        <w:t>the mean spending per visit.</w:t>
      </w:r>
      <w:r w:rsidR="004E4909" w:rsidRPr="00403E6A">
        <w:rPr>
          <w:rStyle w:val="FootnoteReference"/>
          <w:rFonts w:ascii="Times New Roman" w:hAnsi="Times New Roman" w:cs="Times New Roman"/>
          <w:sz w:val="24"/>
          <w:szCs w:val="24"/>
        </w:rPr>
        <w:footnoteReference w:id="10"/>
      </w:r>
      <w:r w:rsidR="00D04395" w:rsidRPr="00403E6A">
        <w:rPr>
          <w:rFonts w:ascii="Times New Roman" w:hAnsi="Times New Roman" w:cs="Times New Roman"/>
          <w:sz w:val="24"/>
          <w:szCs w:val="24"/>
        </w:rPr>
        <w:t xml:space="preserve"> </w:t>
      </w:r>
      <w:r w:rsidR="00D75C26" w:rsidRPr="00403E6A">
        <w:rPr>
          <w:rFonts w:ascii="Times New Roman" w:hAnsi="Times New Roman" w:cs="Times New Roman"/>
          <w:sz w:val="24"/>
          <w:szCs w:val="24"/>
        </w:rPr>
        <w:t xml:space="preserve">For inpatient and nursing facility care, </w:t>
      </w:r>
      <w:r w:rsidR="00E10513" w:rsidRPr="00403E6A">
        <w:rPr>
          <w:rFonts w:ascii="Times New Roman" w:hAnsi="Times New Roman" w:cs="Times New Roman"/>
          <w:sz w:val="24"/>
          <w:szCs w:val="24"/>
        </w:rPr>
        <w:t>“</w:t>
      </w:r>
      <w:r w:rsidR="00D75C26" w:rsidRPr="00403E6A">
        <w:rPr>
          <w:rFonts w:ascii="Times New Roman" w:hAnsi="Times New Roman" w:cs="Times New Roman"/>
          <w:sz w:val="24"/>
          <w:szCs w:val="24"/>
        </w:rPr>
        <w:t>service price and intensity</w:t>
      </w:r>
      <w:r w:rsidR="00E10513" w:rsidRPr="00403E6A">
        <w:rPr>
          <w:rFonts w:ascii="Times New Roman" w:hAnsi="Times New Roman" w:cs="Times New Roman"/>
          <w:sz w:val="24"/>
          <w:szCs w:val="24"/>
        </w:rPr>
        <w:t>”</w:t>
      </w:r>
      <w:r w:rsidR="00D75C26" w:rsidRPr="00403E6A">
        <w:rPr>
          <w:rFonts w:ascii="Times New Roman" w:hAnsi="Times New Roman" w:cs="Times New Roman"/>
          <w:sz w:val="24"/>
          <w:szCs w:val="24"/>
        </w:rPr>
        <w:t xml:space="preserve"> was the mean spending per bed-day.</w:t>
      </w:r>
      <w:r w:rsidR="004E4909" w:rsidRPr="00403E6A">
        <w:rPr>
          <w:rStyle w:val="FootnoteReference"/>
          <w:rFonts w:ascii="Times New Roman" w:hAnsi="Times New Roman" w:cs="Times New Roman"/>
          <w:sz w:val="24"/>
          <w:szCs w:val="24"/>
        </w:rPr>
        <w:footnoteReference w:id="11"/>
      </w:r>
      <w:r w:rsidR="00D75C26" w:rsidRPr="00403E6A">
        <w:rPr>
          <w:rFonts w:ascii="Times New Roman" w:hAnsi="Times New Roman" w:cs="Times New Roman"/>
          <w:sz w:val="24"/>
          <w:szCs w:val="24"/>
        </w:rPr>
        <w:t xml:space="preserve"> </w:t>
      </w:r>
      <w:r w:rsidR="00B20B57" w:rsidRPr="00403E6A">
        <w:rPr>
          <w:rFonts w:ascii="Times New Roman" w:hAnsi="Times New Roman" w:cs="Times New Roman"/>
          <w:sz w:val="24"/>
          <w:szCs w:val="24"/>
        </w:rPr>
        <w:t xml:space="preserve">Lastly, for retail </w:t>
      </w:r>
      <w:r w:rsidR="00B20B57" w:rsidRPr="00403E6A">
        <w:rPr>
          <w:rFonts w:ascii="Times New Roman" w:hAnsi="Times New Roman" w:cs="Times New Roman"/>
          <w:sz w:val="24"/>
          <w:szCs w:val="24"/>
        </w:rPr>
        <w:lastRenderedPageBreak/>
        <w:t xml:space="preserve">pharmaceuticals, </w:t>
      </w:r>
      <w:r w:rsidR="00E10513" w:rsidRPr="00403E6A">
        <w:rPr>
          <w:rFonts w:ascii="Times New Roman" w:hAnsi="Times New Roman" w:cs="Times New Roman"/>
          <w:sz w:val="24"/>
          <w:szCs w:val="24"/>
        </w:rPr>
        <w:t>“</w:t>
      </w:r>
      <w:r w:rsidR="00B20B57" w:rsidRPr="00403E6A">
        <w:rPr>
          <w:rFonts w:ascii="Times New Roman" w:hAnsi="Times New Roman" w:cs="Times New Roman"/>
          <w:sz w:val="24"/>
          <w:szCs w:val="24"/>
        </w:rPr>
        <w:t>service price a</w:t>
      </w:r>
      <w:r w:rsidR="000A2894" w:rsidRPr="00403E6A">
        <w:rPr>
          <w:rFonts w:ascii="Times New Roman" w:hAnsi="Times New Roman" w:cs="Times New Roman"/>
          <w:sz w:val="24"/>
          <w:szCs w:val="24"/>
        </w:rPr>
        <w:t xml:space="preserve">nd </w:t>
      </w:r>
      <w:r w:rsidR="00B20B57" w:rsidRPr="00403E6A">
        <w:rPr>
          <w:rFonts w:ascii="Times New Roman" w:hAnsi="Times New Roman" w:cs="Times New Roman"/>
          <w:sz w:val="24"/>
          <w:szCs w:val="24"/>
        </w:rPr>
        <w:t>intensity</w:t>
      </w:r>
      <w:r w:rsidR="00E10513" w:rsidRPr="00403E6A">
        <w:rPr>
          <w:rFonts w:ascii="Times New Roman" w:hAnsi="Times New Roman" w:cs="Times New Roman"/>
          <w:sz w:val="24"/>
          <w:szCs w:val="24"/>
        </w:rPr>
        <w:t>”</w:t>
      </w:r>
      <w:r w:rsidR="00B20B57" w:rsidRPr="00403E6A">
        <w:rPr>
          <w:rFonts w:ascii="Times New Roman" w:hAnsi="Times New Roman" w:cs="Times New Roman"/>
          <w:sz w:val="24"/>
          <w:szCs w:val="24"/>
        </w:rPr>
        <w:t xml:space="preserve"> was the mean spending per purchased prescription.</w:t>
      </w:r>
      <w:r w:rsidR="00946107" w:rsidRPr="00403E6A">
        <w:rPr>
          <w:rStyle w:val="FootnoteReference"/>
          <w:rFonts w:ascii="Times New Roman" w:hAnsi="Times New Roman" w:cs="Times New Roman"/>
          <w:sz w:val="24"/>
          <w:szCs w:val="24"/>
        </w:rPr>
        <w:footnoteReference w:id="12"/>
      </w:r>
      <w:r w:rsidR="00B20B57" w:rsidRPr="00403E6A">
        <w:rPr>
          <w:rFonts w:ascii="Times New Roman" w:hAnsi="Times New Roman" w:cs="Times New Roman"/>
          <w:sz w:val="24"/>
          <w:szCs w:val="24"/>
        </w:rPr>
        <w:t xml:space="preserve"> </w:t>
      </w:r>
      <w:r w:rsidR="00A0284B" w:rsidRPr="00403E6A">
        <w:rPr>
          <w:rFonts w:ascii="Times New Roman" w:hAnsi="Times New Roman" w:cs="Times New Roman"/>
          <w:sz w:val="24"/>
          <w:szCs w:val="24"/>
        </w:rPr>
        <w:t xml:space="preserve">The study, which </w:t>
      </w:r>
      <w:r w:rsidR="00E86329" w:rsidRPr="00403E6A">
        <w:rPr>
          <w:rFonts w:ascii="Times New Roman" w:hAnsi="Times New Roman" w:cs="Times New Roman"/>
          <w:sz w:val="24"/>
          <w:szCs w:val="24"/>
        </w:rPr>
        <w:t>analyzed US health care spending from 1996 to 2013</w:t>
      </w:r>
      <w:r w:rsidR="009B1B9D" w:rsidRPr="00403E6A">
        <w:rPr>
          <w:rFonts w:ascii="Times New Roman" w:hAnsi="Times New Roman" w:cs="Times New Roman"/>
          <w:sz w:val="24"/>
          <w:szCs w:val="24"/>
        </w:rPr>
        <w:t>,</w:t>
      </w:r>
      <w:r w:rsidR="00E86329" w:rsidRPr="00403E6A">
        <w:rPr>
          <w:rFonts w:ascii="Times New Roman" w:hAnsi="Times New Roman" w:cs="Times New Roman"/>
          <w:sz w:val="24"/>
          <w:szCs w:val="24"/>
        </w:rPr>
        <w:t xml:space="preserve"> discovered that </w:t>
      </w:r>
      <w:r w:rsidR="00E10513" w:rsidRPr="00403E6A">
        <w:rPr>
          <w:rFonts w:ascii="Times New Roman" w:hAnsi="Times New Roman" w:cs="Times New Roman"/>
          <w:sz w:val="24"/>
          <w:szCs w:val="24"/>
        </w:rPr>
        <w:t>“</w:t>
      </w:r>
      <w:r w:rsidR="00CA3AA7" w:rsidRPr="00403E6A">
        <w:rPr>
          <w:rFonts w:ascii="Times New Roman" w:hAnsi="Times New Roman" w:cs="Times New Roman"/>
          <w:sz w:val="24"/>
          <w:szCs w:val="24"/>
        </w:rPr>
        <w:t>price and intensity</w:t>
      </w:r>
      <w:r w:rsidR="00E10513" w:rsidRPr="00403E6A">
        <w:rPr>
          <w:rFonts w:ascii="Times New Roman" w:hAnsi="Times New Roman" w:cs="Times New Roman"/>
          <w:sz w:val="24"/>
          <w:szCs w:val="24"/>
        </w:rPr>
        <w:t>”</w:t>
      </w:r>
      <w:r w:rsidR="00CA3AA7" w:rsidRPr="00403E6A">
        <w:rPr>
          <w:rFonts w:ascii="Times New Roman" w:hAnsi="Times New Roman" w:cs="Times New Roman"/>
          <w:sz w:val="24"/>
          <w:szCs w:val="24"/>
        </w:rPr>
        <w:t xml:space="preserve"> alone accounted for more than 50% of the spending increase.</w:t>
      </w:r>
      <w:r w:rsidR="00643DF6" w:rsidRPr="00403E6A">
        <w:rPr>
          <w:rStyle w:val="FootnoteReference"/>
          <w:rFonts w:ascii="Times New Roman" w:hAnsi="Times New Roman" w:cs="Times New Roman"/>
          <w:sz w:val="24"/>
          <w:szCs w:val="24"/>
        </w:rPr>
        <w:footnoteReference w:id="13"/>
      </w:r>
      <w:r w:rsidR="00BB022A" w:rsidRPr="00403E6A">
        <w:rPr>
          <w:rFonts w:ascii="Times New Roman" w:hAnsi="Times New Roman" w:cs="Times New Roman"/>
          <w:sz w:val="24"/>
          <w:szCs w:val="24"/>
        </w:rPr>
        <w:t xml:space="preserve"> </w:t>
      </w:r>
      <w:r w:rsidR="007C71CA" w:rsidRPr="00403E6A">
        <w:rPr>
          <w:rFonts w:ascii="Times New Roman" w:hAnsi="Times New Roman" w:cs="Times New Roman"/>
          <w:sz w:val="24"/>
          <w:szCs w:val="24"/>
        </w:rPr>
        <w:t>Furthermore, t</w:t>
      </w:r>
      <w:r w:rsidR="00AF6D37" w:rsidRPr="00403E6A">
        <w:rPr>
          <w:rFonts w:ascii="Times New Roman" w:hAnsi="Times New Roman" w:cs="Times New Roman"/>
          <w:sz w:val="24"/>
          <w:szCs w:val="24"/>
        </w:rPr>
        <w:t xml:space="preserve">he study concluded </w:t>
      </w:r>
      <w:r w:rsidR="00735040" w:rsidRPr="00403E6A">
        <w:rPr>
          <w:rFonts w:ascii="Times New Roman" w:hAnsi="Times New Roman" w:cs="Times New Roman"/>
          <w:sz w:val="24"/>
          <w:szCs w:val="24"/>
        </w:rPr>
        <w:t xml:space="preserve">that the </w:t>
      </w:r>
      <w:r w:rsidR="00B013E9" w:rsidRPr="00403E6A">
        <w:rPr>
          <w:rFonts w:ascii="Times New Roman" w:hAnsi="Times New Roman" w:cs="Times New Roman"/>
          <w:sz w:val="24"/>
          <w:szCs w:val="24"/>
        </w:rPr>
        <w:t xml:space="preserve">increase </w:t>
      </w:r>
      <w:r w:rsidR="00AF6D37" w:rsidRPr="00403E6A">
        <w:rPr>
          <w:rFonts w:ascii="Times New Roman" w:hAnsi="Times New Roman" w:cs="Times New Roman"/>
          <w:sz w:val="24"/>
          <w:szCs w:val="24"/>
        </w:rPr>
        <w:t xml:space="preserve">in prices were </w:t>
      </w:r>
      <w:r w:rsidR="00B013E9" w:rsidRPr="00403E6A">
        <w:rPr>
          <w:rFonts w:ascii="Times New Roman" w:hAnsi="Times New Roman" w:cs="Times New Roman"/>
          <w:sz w:val="24"/>
          <w:szCs w:val="24"/>
        </w:rPr>
        <w:t>greatest in inpatient care</w:t>
      </w:r>
      <w:r w:rsidR="00764B7E" w:rsidRPr="00403E6A">
        <w:rPr>
          <w:rFonts w:ascii="Times New Roman" w:hAnsi="Times New Roman" w:cs="Times New Roman"/>
          <w:sz w:val="24"/>
          <w:szCs w:val="24"/>
        </w:rPr>
        <w:t>.</w:t>
      </w:r>
      <w:r w:rsidR="00F46A6A" w:rsidRPr="00403E6A">
        <w:rPr>
          <w:rStyle w:val="FootnoteReference"/>
          <w:rFonts w:ascii="Times New Roman" w:hAnsi="Times New Roman" w:cs="Times New Roman"/>
          <w:sz w:val="24"/>
          <w:szCs w:val="24"/>
        </w:rPr>
        <w:footnoteReference w:id="14"/>
      </w:r>
      <w:r w:rsidR="001F0EDB" w:rsidRPr="00403E6A">
        <w:rPr>
          <w:rFonts w:ascii="Times New Roman" w:hAnsi="Times New Roman" w:cs="Times New Roman"/>
          <w:sz w:val="24"/>
          <w:szCs w:val="24"/>
        </w:rPr>
        <w:t xml:space="preserve"> </w:t>
      </w:r>
      <w:r w:rsidR="00572FE5" w:rsidRPr="00403E6A">
        <w:rPr>
          <w:rFonts w:ascii="Times New Roman" w:hAnsi="Times New Roman" w:cs="Times New Roman"/>
          <w:sz w:val="24"/>
          <w:szCs w:val="24"/>
        </w:rPr>
        <w:t xml:space="preserve">Therefore, </w:t>
      </w:r>
      <w:r w:rsidR="00724A50" w:rsidRPr="00403E6A">
        <w:rPr>
          <w:rFonts w:ascii="Times New Roman" w:hAnsi="Times New Roman" w:cs="Times New Roman"/>
          <w:sz w:val="24"/>
          <w:szCs w:val="24"/>
        </w:rPr>
        <w:t xml:space="preserve">although there are other factors that contribute to high spending, </w:t>
      </w:r>
      <w:r w:rsidR="00A731B8" w:rsidRPr="00403E6A">
        <w:rPr>
          <w:rFonts w:ascii="Times New Roman" w:hAnsi="Times New Roman" w:cs="Times New Roman"/>
          <w:sz w:val="24"/>
          <w:szCs w:val="24"/>
        </w:rPr>
        <w:t>to</w:t>
      </w:r>
      <w:r w:rsidR="00572FE5" w:rsidRPr="00403E6A">
        <w:rPr>
          <w:rFonts w:ascii="Times New Roman" w:hAnsi="Times New Roman" w:cs="Times New Roman"/>
          <w:sz w:val="24"/>
          <w:szCs w:val="24"/>
        </w:rPr>
        <w:t xml:space="preserve"> </w:t>
      </w:r>
      <w:r w:rsidR="00EA312D" w:rsidRPr="00403E6A">
        <w:rPr>
          <w:rFonts w:ascii="Times New Roman" w:hAnsi="Times New Roman" w:cs="Times New Roman"/>
          <w:sz w:val="24"/>
          <w:szCs w:val="24"/>
        </w:rPr>
        <w:t>improve</w:t>
      </w:r>
      <w:r w:rsidR="00572FE5" w:rsidRPr="00403E6A">
        <w:rPr>
          <w:rFonts w:ascii="Times New Roman" w:hAnsi="Times New Roman" w:cs="Times New Roman"/>
          <w:sz w:val="24"/>
          <w:szCs w:val="24"/>
        </w:rPr>
        <w:t xml:space="preserve"> the prevailing issues of cost and access</w:t>
      </w:r>
      <w:r w:rsidR="00884955" w:rsidRPr="00403E6A">
        <w:rPr>
          <w:rFonts w:ascii="Times New Roman" w:hAnsi="Times New Roman" w:cs="Times New Roman"/>
          <w:sz w:val="24"/>
          <w:szCs w:val="24"/>
        </w:rPr>
        <w:t xml:space="preserve"> </w:t>
      </w:r>
      <w:r w:rsidR="00572FE5" w:rsidRPr="00403E6A">
        <w:rPr>
          <w:rFonts w:ascii="Times New Roman" w:hAnsi="Times New Roman" w:cs="Times New Roman"/>
          <w:sz w:val="24"/>
          <w:szCs w:val="24"/>
        </w:rPr>
        <w:t xml:space="preserve">to healthcare in the United States, </w:t>
      </w:r>
      <w:r w:rsidR="008C329B" w:rsidRPr="00403E6A">
        <w:rPr>
          <w:rFonts w:ascii="Times New Roman" w:hAnsi="Times New Roman" w:cs="Times New Roman"/>
          <w:sz w:val="24"/>
          <w:szCs w:val="24"/>
        </w:rPr>
        <w:t>policymakers</w:t>
      </w:r>
      <w:r w:rsidR="00112D7A" w:rsidRPr="00403E6A">
        <w:rPr>
          <w:rFonts w:ascii="Times New Roman" w:hAnsi="Times New Roman" w:cs="Times New Roman"/>
          <w:sz w:val="24"/>
          <w:szCs w:val="24"/>
        </w:rPr>
        <w:t xml:space="preserve">, providers, and </w:t>
      </w:r>
      <w:r w:rsidR="00EA312D" w:rsidRPr="00403E6A">
        <w:rPr>
          <w:rFonts w:ascii="Times New Roman" w:hAnsi="Times New Roman" w:cs="Times New Roman"/>
          <w:sz w:val="24"/>
          <w:szCs w:val="24"/>
        </w:rPr>
        <w:t>insurers</w:t>
      </w:r>
      <w:r w:rsidR="008C329B" w:rsidRPr="00403E6A">
        <w:rPr>
          <w:rFonts w:ascii="Times New Roman" w:hAnsi="Times New Roman" w:cs="Times New Roman"/>
          <w:sz w:val="24"/>
          <w:szCs w:val="24"/>
        </w:rPr>
        <w:t xml:space="preserve"> </w:t>
      </w:r>
      <w:r w:rsidR="00112D7A" w:rsidRPr="00403E6A">
        <w:rPr>
          <w:rFonts w:ascii="Times New Roman" w:hAnsi="Times New Roman" w:cs="Times New Roman"/>
          <w:sz w:val="24"/>
          <w:szCs w:val="24"/>
        </w:rPr>
        <w:t xml:space="preserve">must </w:t>
      </w:r>
      <w:r w:rsidR="003C1050" w:rsidRPr="00403E6A">
        <w:rPr>
          <w:rFonts w:ascii="Times New Roman" w:hAnsi="Times New Roman" w:cs="Times New Roman"/>
          <w:sz w:val="24"/>
          <w:szCs w:val="24"/>
        </w:rPr>
        <w:t>curtail prices of services delivered to patients</w:t>
      </w:r>
      <w:r w:rsidR="00EA312D" w:rsidRPr="00403E6A">
        <w:rPr>
          <w:rFonts w:ascii="Times New Roman" w:hAnsi="Times New Roman" w:cs="Times New Roman"/>
          <w:sz w:val="24"/>
          <w:szCs w:val="24"/>
        </w:rPr>
        <w:t>.</w:t>
      </w:r>
      <w:r w:rsidR="003C1050" w:rsidRPr="00403E6A">
        <w:rPr>
          <w:rFonts w:ascii="Times New Roman" w:hAnsi="Times New Roman" w:cs="Times New Roman"/>
          <w:sz w:val="24"/>
          <w:szCs w:val="24"/>
        </w:rPr>
        <w:t xml:space="preserve"> </w:t>
      </w:r>
      <w:r w:rsidR="00AA0B9E" w:rsidRPr="00403E6A">
        <w:rPr>
          <w:rFonts w:ascii="Times New Roman" w:hAnsi="Times New Roman" w:cs="Times New Roman"/>
          <w:sz w:val="24"/>
          <w:szCs w:val="24"/>
        </w:rPr>
        <w:t>T</w:t>
      </w:r>
      <w:r w:rsidR="00410D7E" w:rsidRPr="00403E6A">
        <w:rPr>
          <w:rFonts w:ascii="Times New Roman" w:hAnsi="Times New Roman" w:cs="Times New Roman"/>
          <w:sz w:val="24"/>
          <w:szCs w:val="24"/>
        </w:rPr>
        <w:t xml:space="preserve">o curtail the </w:t>
      </w:r>
      <w:r w:rsidR="007C4E7E" w:rsidRPr="00403E6A">
        <w:rPr>
          <w:rFonts w:ascii="Times New Roman" w:hAnsi="Times New Roman" w:cs="Times New Roman"/>
          <w:sz w:val="24"/>
          <w:szCs w:val="24"/>
        </w:rPr>
        <w:t xml:space="preserve">prices of health care services, it is important to depict the </w:t>
      </w:r>
      <w:r w:rsidR="00BB3236" w:rsidRPr="00403E6A">
        <w:rPr>
          <w:rFonts w:ascii="Times New Roman" w:hAnsi="Times New Roman" w:cs="Times New Roman"/>
          <w:sz w:val="24"/>
          <w:szCs w:val="24"/>
        </w:rPr>
        <w:t xml:space="preserve">structures </w:t>
      </w:r>
      <w:r w:rsidR="00D763F9" w:rsidRPr="00403E6A">
        <w:rPr>
          <w:rFonts w:ascii="Times New Roman" w:hAnsi="Times New Roman" w:cs="Times New Roman"/>
          <w:sz w:val="24"/>
          <w:szCs w:val="24"/>
        </w:rPr>
        <w:t xml:space="preserve">of the system that </w:t>
      </w:r>
      <w:r w:rsidR="00261C21" w:rsidRPr="00403E6A">
        <w:rPr>
          <w:rFonts w:ascii="Times New Roman" w:hAnsi="Times New Roman" w:cs="Times New Roman"/>
          <w:sz w:val="24"/>
          <w:szCs w:val="24"/>
        </w:rPr>
        <w:t>are to blame for</w:t>
      </w:r>
      <w:r w:rsidR="00AA1ACA" w:rsidRPr="00403E6A">
        <w:rPr>
          <w:rFonts w:ascii="Times New Roman" w:hAnsi="Times New Roman" w:cs="Times New Roman"/>
          <w:sz w:val="24"/>
          <w:szCs w:val="24"/>
        </w:rPr>
        <w:t xml:space="preserve"> increases </w:t>
      </w:r>
      <w:r w:rsidR="00950EAF" w:rsidRPr="00403E6A">
        <w:rPr>
          <w:rFonts w:ascii="Times New Roman" w:hAnsi="Times New Roman" w:cs="Times New Roman"/>
          <w:sz w:val="24"/>
          <w:szCs w:val="24"/>
        </w:rPr>
        <w:t>in</w:t>
      </w:r>
      <w:r w:rsidR="00AA1ACA" w:rsidRPr="00403E6A">
        <w:rPr>
          <w:rFonts w:ascii="Times New Roman" w:hAnsi="Times New Roman" w:cs="Times New Roman"/>
          <w:sz w:val="24"/>
          <w:szCs w:val="24"/>
        </w:rPr>
        <w:t xml:space="preserve"> prices. </w:t>
      </w:r>
      <w:r w:rsidR="00B72943" w:rsidRPr="00403E6A">
        <w:rPr>
          <w:rFonts w:ascii="Times New Roman" w:hAnsi="Times New Roman" w:cs="Times New Roman"/>
          <w:sz w:val="24"/>
          <w:szCs w:val="24"/>
        </w:rPr>
        <w:t>T</w:t>
      </w:r>
      <w:r w:rsidR="0036260C" w:rsidRPr="00403E6A">
        <w:rPr>
          <w:rFonts w:ascii="Times New Roman" w:hAnsi="Times New Roman" w:cs="Times New Roman"/>
          <w:sz w:val="24"/>
          <w:szCs w:val="24"/>
        </w:rPr>
        <w:t>his paper</w:t>
      </w:r>
      <w:r w:rsidR="00B72943" w:rsidRPr="00403E6A">
        <w:rPr>
          <w:rFonts w:ascii="Times New Roman" w:hAnsi="Times New Roman" w:cs="Times New Roman"/>
          <w:sz w:val="24"/>
          <w:szCs w:val="24"/>
        </w:rPr>
        <w:t xml:space="preserve"> </w:t>
      </w:r>
      <w:r w:rsidR="007707DE" w:rsidRPr="00403E6A">
        <w:rPr>
          <w:rFonts w:ascii="Times New Roman" w:hAnsi="Times New Roman" w:cs="Times New Roman"/>
          <w:sz w:val="24"/>
          <w:szCs w:val="24"/>
        </w:rPr>
        <w:t>argues in part that what has been called “</w:t>
      </w:r>
      <w:r w:rsidR="00B72943" w:rsidRPr="00403E6A">
        <w:rPr>
          <w:rFonts w:ascii="Times New Roman" w:hAnsi="Times New Roman" w:cs="Times New Roman"/>
          <w:sz w:val="24"/>
          <w:szCs w:val="24"/>
        </w:rPr>
        <w:t>the double-edged sword</w:t>
      </w:r>
      <w:r w:rsidR="007707DE" w:rsidRPr="00403E6A">
        <w:rPr>
          <w:rFonts w:ascii="Times New Roman" w:hAnsi="Times New Roman" w:cs="Times New Roman"/>
          <w:sz w:val="24"/>
          <w:szCs w:val="24"/>
        </w:rPr>
        <w:t>”</w:t>
      </w:r>
      <w:r w:rsidR="00B72943" w:rsidRPr="00403E6A">
        <w:rPr>
          <w:rFonts w:ascii="Times New Roman" w:hAnsi="Times New Roman" w:cs="Times New Roman"/>
          <w:sz w:val="24"/>
          <w:szCs w:val="24"/>
        </w:rPr>
        <w:t xml:space="preserve"> </w:t>
      </w:r>
      <w:r w:rsidR="00382842" w:rsidRPr="00403E6A">
        <w:rPr>
          <w:rFonts w:ascii="Times New Roman" w:hAnsi="Times New Roman" w:cs="Times New Roman"/>
          <w:sz w:val="24"/>
          <w:szCs w:val="24"/>
        </w:rPr>
        <w:t xml:space="preserve">of </w:t>
      </w:r>
      <w:r w:rsidR="00303419" w:rsidRPr="00403E6A">
        <w:rPr>
          <w:rFonts w:ascii="Times New Roman" w:hAnsi="Times New Roman" w:cs="Times New Roman"/>
          <w:sz w:val="24"/>
          <w:szCs w:val="24"/>
        </w:rPr>
        <w:t xml:space="preserve">care integration </w:t>
      </w:r>
      <w:r w:rsidR="00382842" w:rsidRPr="00403E6A">
        <w:rPr>
          <w:rFonts w:ascii="Times New Roman" w:hAnsi="Times New Roman" w:cs="Times New Roman"/>
          <w:sz w:val="24"/>
          <w:szCs w:val="24"/>
        </w:rPr>
        <w:t xml:space="preserve">and the </w:t>
      </w:r>
      <w:r w:rsidR="00E2111E" w:rsidRPr="00403E6A">
        <w:rPr>
          <w:rFonts w:ascii="Times New Roman" w:hAnsi="Times New Roman" w:cs="Times New Roman"/>
          <w:sz w:val="24"/>
          <w:szCs w:val="24"/>
        </w:rPr>
        <w:t xml:space="preserve">market consolidation </w:t>
      </w:r>
      <w:r w:rsidR="00CA67FC" w:rsidRPr="00403E6A">
        <w:rPr>
          <w:rFonts w:ascii="Times New Roman" w:hAnsi="Times New Roman" w:cs="Times New Roman"/>
          <w:sz w:val="24"/>
          <w:szCs w:val="24"/>
        </w:rPr>
        <w:t>it causes</w:t>
      </w:r>
      <w:r w:rsidR="00E91212">
        <w:rPr>
          <w:rFonts w:ascii="Times New Roman" w:hAnsi="Times New Roman" w:cs="Times New Roman"/>
          <w:sz w:val="24"/>
          <w:szCs w:val="24"/>
        </w:rPr>
        <w:t>,</w:t>
      </w:r>
      <w:r w:rsidR="00CA67FC" w:rsidRPr="00403E6A">
        <w:rPr>
          <w:rFonts w:ascii="Times New Roman" w:hAnsi="Times New Roman" w:cs="Times New Roman"/>
          <w:sz w:val="24"/>
          <w:szCs w:val="24"/>
        </w:rPr>
        <w:t xml:space="preserve"> </w:t>
      </w:r>
      <w:r w:rsidR="00E91212">
        <w:rPr>
          <w:rFonts w:ascii="Times New Roman" w:hAnsi="Times New Roman" w:cs="Times New Roman"/>
          <w:sz w:val="24"/>
          <w:szCs w:val="24"/>
        </w:rPr>
        <w:t>is the reason for steadily increasing healthcare costs</w:t>
      </w:r>
      <w:r w:rsidR="00E2111E" w:rsidRPr="00403E6A">
        <w:rPr>
          <w:rFonts w:ascii="Times New Roman" w:hAnsi="Times New Roman" w:cs="Times New Roman"/>
          <w:sz w:val="24"/>
          <w:szCs w:val="24"/>
        </w:rPr>
        <w:t xml:space="preserve">. </w:t>
      </w:r>
      <w:r w:rsidR="005F5222" w:rsidRPr="00403E6A">
        <w:rPr>
          <w:rStyle w:val="FootnoteReference"/>
          <w:rFonts w:ascii="Times New Roman" w:hAnsi="Times New Roman" w:cs="Times New Roman"/>
          <w:sz w:val="24"/>
          <w:szCs w:val="24"/>
        </w:rPr>
        <w:footnoteReference w:id="15"/>
      </w:r>
    </w:p>
    <w:p w14:paraId="667C4307" w14:textId="44E222AE" w:rsidR="00D817D0" w:rsidRPr="00403E6A" w:rsidRDefault="00FF5E53" w:rsidP="00410D7E">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r>
      <w:r w:rsidR="00D8745A" w:rsidRPr="00403E6A">
        <w:rPr>
          <w:rFonts w:ascii="Times New Roman" w:hAnsi="Times New Roman" w:cs="Times New Roman"/>
          <w:sz w:val="24"/>
          <w:szCs w:val="24"/>
        </w:rPr>
        <w:t xml:space="preserve">Since the 1990s, </w:t>
      </w:r>
      <w:r w:rsidR="002E4CE1" w:rsidRPr="00403E6A">
        <w:rPr>
          <w:rFonts w:ascii="Times New Roman" w:hAnsi="Times New Roman" w:cs="Times New Roman"/>
          <w:sz w:val="24"/>
          <w:szCs w:val="24"/>
        </w:rPr>
        <w:t xml:space="preserve">both market forces and </w:t>
      </w:r>
      <w:r w:rsidR="0048751B" w:rsidRPr="00403E6A">
        <w:rPr>
          <w:rFonts w:ascii="Times New Roman" w:hAnsi="Times New Roman" w:cs="Times New Roman"/>
          <w:sz w:val="24"/>
          <w:szCs w:val="24"/>
        </w:rPr>
        <w:t xml:space="preserve">policy actions </w:t>
      </w:r>
      <w:r w:rsidR="003F47C0" w:rsidRPr="00403E6A">
        <w:rPr>
          <w:rFonts w:ascii="Times New Roman" w:hAnsi="Times New Roman" w:cs="Times New Roman"/>
          <w:sz w:val="24"/>
          <w:szCs w:val="24"/>
        </w:rPr>
        <w:t>have resulted in enhanced</w:t>
      </w:r>
      <w:r w:rsidR="00D8745A" w:rsidRPr="00403E6A">
        <w:rPr>
          <w:rFonts w:ascii="Times New Roman" w:hAnsi="Times New Roman" w:cs="Times New Roman"/>
          <w:sz w:val="24"/>
          <w:szCs w:val="24"/>
        </w:rPr>
        <w:t xml:space="preserve"> care coo</w:t>
      </w:r>
      <w:r w:rsidR="00AE61D7" w:rsidRPr="00403E6A">
        <w:rPr>
          <w:rFonts w:ascii="Times New Roman" w:hAnsi="Times New Roman" w:cs="Times New Roman"/>
          <w:sz w:val="24"/>
          <w:szCs w:val="24"/>
        </w:rPr>
        <w:t xml:space="preserve">rdination via vertical care integration. </w:t>
      </w:r>
      <w:r w:rsidR="00776696" w:rsidRPr="00403E6A">
        <w:rPr>
          <w:rFonts w:ascii="Times New Roman" w:hAnsi="Times New Roman" w:cs="Times New Roman"/>
          <w:sz w:val="24"/>
          <w:szCs w:val="24"/>
        </w:rPr>
        <w:t xml:space="preserve">In health care, vertical integration refers to the </w:t>
      </w:r>
      <w:r w:rsidR="00CD6B94" w:rsidRPr="00403E6A">
        <w:rPr>
          <w:rFonts w:ascii="Times New Roman" w:hAnsi="Times New Roman" w:cs="Times New Roman"/>
          <w:sz w:val="24"/>
          <w:szCs w:val="24"/>
        </w:rPr>
        <w:t>consolidation</w:t>
      </w:r>
      <w:r w:rsidR="00832D05" w:rsidRPr="00403E6A">
        <w:rPr>
          <w:rFonts w:ascii="Times New Roman" w:hAnsi="Times New Roman" w:cs="Times New Roman"/>
          <w:sz w:val="24"/>
          <w:szCs w:val="24"/>
        </w:rPr>
        <w:t xml:space="preserve"> of providers</w:t>
      </w:r>
      <w:r w:rsidR="00776696" w:rsidRPr="00403E6A">
        <w:rPr>
          <w:rFonts w:ascii="Times New Roman" w:hAnsi="Times New Roman" w:cs="Times New Roman"/>
          <w:sz w:val="24"/>
          <w:szCs w:val="24"/>
        </w:rPr>
        <w:t xml:space="preserve"> of different </w:t>
      </w:r>
      <w:r w:rsidR="00832D05" w:rsidRPr="00403E6A">
        <w:rPr>
          <w:rFonts w:ascii="Times New Roman" w:hAnsi="Times New Roman" w:cs="Times New Roman"/>
          <w:sz w:val="24"/>
          <w:szCs w:val="24"/>
        </w:rPr>
        <w:t>elements</w:t>
      </w:r>
      <w:r w:rsidR="00776696" w:rsidRPr="00403E6A">
        <w:rPr>
          <w:rFonts w:ascii="Times New Roman" w:hAnsi="Times New Roman" w:cs="Times New Roman"/>
          <w:sz w:val="24"/>
          <w:szCs w:val="24"/>
        </w:rPr>
        <w:t xml:space="preserve"> of health care services, such as hospitals and physicians, which collectively supply </w:t>
      </w:r>
      <w:r w:rsidR="00EB146C" w:rsidRPr="00403E6A">
        <w:rPr>
          <w:rFonts w:ascii="Times New Roman" w:hAnsi="Times New Roman" w:cs="Times New Roman"/>
          <w:sz w:val="24"/>
          <w:szCs w:val="24"/>
        </w:rPr>
        <w:t xml:space="preserve">those </w:t>
      </w:r>
      <w:r w:rsidR="00776696" w:rsidRPr="00403E6A">
        <w:rPr>
          <w:rFonts w:ascii="Times New Roman" w:hAnsi="Times New Roman" w:cs="Times New Roman"/>
          <w:sz w:val="24"/>
          <w:szCs w:val="24"/>
        </w:rPr>
        <w:t xml:space="preserve">elements of the health care </w:t>
      </w:r>
      <w:r w:rsidR="002E24A0" w:rsidRPr="00403E6A">
        <w:rPr>
          <w:rFonts w:ascii="Times New Roman" w:hAnsi="Times New Roman" w:cs="Times New Roman"/>
          <w:sz w:val="24"/>
          <w:szCs w:val="24"/>
        </w:rPr>
        <w:t>service</w:t>
      </w:r>
      <w:r w:rsidR="00776696" w:rsidRPr="00403E6A">
        <w:rPr>
          <w:rFonts w:ascii="Times New Roman" w:hAnsi="Times New Roman" w:cs="Times New Roman"/>
          <w:sz w:val="24"/>
          <w:szCs w:val="24"/>
        </w:rPr>
        <w:t xml:space="preserve"> to the </w:t>
      </w:r>
      <w:r w:rsidR="00A3157B" w:rsidRPr="00403E6A">
        <w:rPr>
          <w:rFonts w:ascii="Times New Roman" w:hAnsi="Times New Roman" w:cs="Times New Roman"/>
          <w:sz w:val="24"/>
          <w:szCs w:val="24"/>
        </w:rPr>
        <w:t>patient</w:t>
      </w:r>
      <w:r w:rsidR="00776696" w:rsidRPr="00403E6A">
        <w:rPr>
          <w:rFonts w:ascii="Times New Roman" w:hAnsi="Times New Roman" w:cs="Times New Roman"/>
          <w:sz w:val="24"/>
          <w:szCs w:val="24"/>
        </w:rPr>
        <w:t>.</w:t>
      </w:r>
      <w:r w:rsidR="004E3CAA" w:rsidRPr="00403E6A">
        <w:rPr>
          <w:rStyle w:val="FootnoteReference"/>
          <w:rFonts w:ascii="Times New Roman" w:hAnsi="Times New Roman" w:cs="Times New Roman"/>
          <w:sz w:val="24"/>
          <w:szCs w:val="24"/>
        </w:rPr>
        <w:footnoteReference w:id="16"/>
      </w:r>
      <w:r w:rsidR="00776696" w:rsidRPr="00403E6A">
        <w:rPr>
          <w:rFonts w:ascii="Times New Roman" w:hAnsi="Times New Roman" w:cs="Times New Roman"/>
          <w:sz w:val="24"/>
          <w:szCs w:val="24"/>
        </w:rPr>
        <w:t xml:space="preserve"> </w:t>
      </w:r>
      <w:r w:rsidR="00A7208B" w:rsidRPr="00403E6A">
        <w:rPr>
          <w:rFonts w:ascii="Times New Roman" w:hAnsi="Times New Roman" w:cs="Times New Roman"/>
          <w:sz w:val="24"/>
          <w:szCs w:val="24"/>
        </w:rPr>
        <w:t xml:space="preserve">The presuppositions of </w:t>
      </w:r>
      <w:r w:rsidR="00F01D0B" w:rsidRPr="00403E6A">
        <w:rPr>
          <w:rFonts w:ascii="Times New Roman" w:hAnsi="Times New Roman" w:cs="Times New Roman"/>
          <w:sz w:val="24"/>
          <w:szCs w:val="24"/>
        </w:rPr>
        <w:t>vertical care integration</w:t>
      </w:r>
      <w:r w:rsidR="005A74D4" w:rsidRPr="00403E6A">
        <w:rPr>
          <w:rFonts w:ascii="Times New Roman" w:hAnsi="Times New Roman" w:cs="Times New Roman"/>
          <w:sz w:val="24"/>
          <w:szCs w:val="24"/>
        </w:rPr>
        <w:t xml:space="preserve"> are that </w:t>
      </w:r>
      <w:r w:rsidR="003A131E" w:rsidRPr="00403E6A">
        <w:rPr>
          <w:rFonts w:ascii="Times New Roman" w:hAnsi="Times New Roman" w:cs="Times New Roman"/>
          <w:sz w:val="24"/>
          <w:szCs w:val="24"/>
        </w:rPr>
        <w:t xml:space="preserve">it </w:t>
      </w:r>
      <w:r w:rsidR="00940D4E" w:rsidRPr="00403E6A">
        <w:rPr>
          <w:rFonts w:ascii="Times New Roman" w:hAnsi="Times New Roman" w:cs="Times New Roman"/>
          <w:sz w:val="24"/>
          <w:szCs w:val="24"/>
        </w:rPr>
        <w:t>help</w:t>
      </w:r>
      <w:r w:rsidR="00F135F5" w:rsidRPr="00403E6A">
        <w:rPr>
          <w:rFonts w:ascii="Times New Roman" w:hAnsi="Times New Roman" w:cs="Times New Roman"/>
          <w:sz w:val="24"/>
          <w:szCs w:val="24"/>
        </w:rPr>
        <w:t xml:space="preserve">s </w:t>
      </w:r>
      <w:r w:rsidR="00940D4E" w:rsidRPr="00403E6A">
        <w:rPr>
          <w:rFonts w:ascii="Times New Roman" w:hAnsi="Times New Roman" w:cs="Times New Roman"/>
          <w:sz w:val="24"/>
          <w:szCs w:val="24"/>
        </w:rPr>
        <w:t>eliminate waste, encourage shared resources, and reduce overhead expenses.</w:t>
      </w:r>
      <w:r w:rsidR="00766DDB" w:rsidRPr="00403E6A">
        <w:rPr>
          <w:rStyle w:val="FootnoteReference"/>
          <w:rFonts w:ascii="Times New Roman" w:hAnsi="Times New Roman" w:cs="Times New Roman"/>
          <w:sz w:val="24"/>
          <w:szCs w:val="24"/>
        </w:rPr>
        <w:footnoteReference w:id="17"/>
      </w:r>
      <w:r w:rsidR="003A131E" w:rsidRPr="00403E6A">
        <w:rPr>
          <w:rFonts w:ascii="Times New Roman" w:hAnsi="Times New Roman" w:cs="Times New Roman"/>
          <w:sz w:val="24"/>
          <w:szCs w:val="24"/>
        </w:rPr>
        <w:t xml:space="preserve"> This is turn </w:t>
      </w:r>
      <w:r w:rsidR="00192CBC" w:rsidRPr="00403E6A">
        <w:rPr>
          <w:rFonts w:ascii="Times New Roman" w:hAnsi="Times New Roman" w:cs="Times New Roman"/>
          <w:sz w:val="24"/>
          <w:szCs w:val="24"/>
        </w:rPr>
        <w:t>w</w:t>
      </w:r>
      <w:r w:rsidR="00D378D5" w:rsidRPr="00403E6A">
        <w:rPr>
          <w:rFonts w:ascii="Times New Roman" w:hAnsi="Times New Roman" w:cs="Times New Roman"/>
          <w:sz w:val="24"/>
          <w:szCs w:val="24"/>
        </w:rPr>
        <w:t xml:space="preserve">ill </w:t>
      </w:r>
      <w:r w:rsidR="00192CBC" w:rsidRPr="00403E6A">
        <w:rPr>
          <w:rFonts w:ascii="Times New Roman" w:hAnsi="Times New Roman" w:cs="Times New Roman"/>
          <w:sz w:val="24"/>
          <w:szCs w:val="24"/>
        </w:rPr>
        <w:t xml:space="preserve">reduce </w:t>
      </w:r>
      <w:r w:rsidR="00BA200A" w:rsidRPr="00403E6A">
        <w:rPr>
          <w:rFonts w:ascii="Times New Roman" w:hAnsi="Times New Roman" w:cs="Times New Roman"/>
          <w:sz w:val="24"/>
          <w:szCs w:val="24"/>
        </w:rPr>
        <w:t>general</w:t>
      </w:r>
      <w:r w:rsidR="003A131E" w:rsidRPr="00403E6A">
        <w:rPr>
          <w:rFonts w:ascii="Times New Roman" w:hAnsi="Times New Roman" w:cs="Times New Roman"/>
          <w:sz w:val="24"/>
          <w:szCs w:val="24"/>
        </w:rPr>
        <w:t xml:space="preserve"> health care costs</w:t>
      </w:r>
      <w:r w:rsidR="00A432B1" w:rsidRPr="00403E6A">
        <w:rPr>
          <w:rFonts w:ascii="Times New Roman" w:hAnsi="Times New Roman" w:cs="Times New Roman"/>
          <w:sz w:val="24"/>
          <w:szCs w:val="24"/>
        </w:rPr>
        <w:t xml:space="preserve"> and improve the experience for the consumer</w:t>
      </w:r>
      <w:r w:rsidR="00402985" w:rsidRPr="00403E6A">
        <w:rPr>
          <w:rFonts w:ascii="Times New Roman" w:hAnsi="Times New Roman" w:cs="Times New Roman"/>
          <w:sz w:val="24"/>
          <w:szCs w:val="24"/>
        </w:rPr>
        <w:t>.</w:t>
      </w:r>
      <w:r w:rsidR="00FB6282" w:rsidRPr="00403E6A">
        <w:rPr>
          <w:rFonts w:ascii="Times New Roman" w:hAnsi="Times New Roman" w:cs="Times New Roman"/>
          <w:sz w:val="24"/>
          <w:szCs w:val="24"/>
        </w:rPr>
        <w:t xml:space="preserve"> </w:t>
      </w:r>
      <w:r w:rsidR="000A10DE" w:rsidRPr="00403E6A">
        <w:rPr>
          <w:rFonts w:ascii="Times New Roman" w:hAnsi="Times New Roman" w:cs="Times New Roman"/>
          <w:sz w:val="24"/>
          <w:szCs w:val="24"/>
        </w:rPr>
        <w:t xml:space="preserve">The Patient Protection and </w:t>
      </w:r>
      <w:r w:rsidR="00192CBC" w:rsidRPr="00403E6A">
        <w:rPr>
          <w:rFonts w:ascii="Times New Roman" w:hAnsi="Times New Roman" w:cs="Times New Roman"/>
          <w:sz w:val="24"/>
          <w:szCs w:val="24"/>
        </w:rPr>
        <w:t xml:space="preserve">Affordable </w:t>
      </w:r>
      <w:r w:rsidR="000A10DE" w:rsidRPr="00403E6A">
        <w:rPr>
          <w:rFonts w:ascii="Times New Roman" w:hAnsi="Times New Roman" w:cs="Times New Roman"/>
          <w:sz w:val="24"/>
          <w:szCs w:val="24"/>
        </w:rPr>
        <w:t xml:space="preserve">Care </w:t>
      </w:r>
      <w:r w:rsidR="000A10DE" w:rsidRPr="00403E6A">
        <w:rPr>
          <w:rFonts w:ascii="Times New Roman" w:hAnsi="Times New Roman" w:cs="Times New Roman"/>
          <w:sz w:val="24"/>
          <w:szCs w:val="24"/>
        </w:rPr>
        <w:lastRenderedPageBreak/>
        <w:t xml:space="preserve">Act </w:t>
      </w:r>
      <w:r w:rsidR="00192CBC" w:rsidRPr="00403E6A">
        <w:rPr>
          <w:rFonts w:ascii="Times New Roman" w:hAnsi="Times New Roman" w:cs="Times New Roman"/>
          <w:sz w:val="24"/>
          <w:szCs w:val="24"/>
        </w:rPr>
        <w:t xml:space="preserve">of 2010 </w:t>
      </w:r>
      <w:r w:rsidR="00E10B54" w:rsidRPr="00403E6A">
        <w:rPr>
          <w:rFonts w:ascii="Times New Roman" w:hAnsi="Times New Roman" w:cs="Times New Roman"/>
          <w:sz w:val="24"/>
          <w:szCs w:val="24"/>
        </w:rPr>
        <w:t xml:space="preserve">(ACA) </w:t>
      </w:r>
      <w:r w:rsidR="00737F08" w:rsidRPr="00403E6A">
        <w:rPr>
          <w:rFonts w:ascii="Times New Roman" w:hAnsi="Times New Roman" w:cs="Times New Roman"/>
          <w:sz w:val="24"/>
          <w:szCs w:val="24"/>
        </w:rPr>
        <w:t>accelerated this trend, and pursued concepts that incentivized greater care coordination.</w:t>
      </w:r>
      <w:r w:rsidR="00F1457E" w:rsidRPr="00403E6A">
        <w:rPr>
          <w:rStyle w:val="FootnoteReference"/>
          <w:rFonts w:ascii="Times New Roman" w:hAnsi="Times New Roman" w:cs="Times New Roman"/>
          <w:sz w:val="24"/>
          <w:szCs w:val="24"/>
        </w:rPr>
        <w:footnoteReference w:id="18"/>
      </w:r>
    </w:p>
    <w:p w14:paraId="6530AC87" w14:textId="4D8700AB" w:rsidR="00A25774" w:rsidRPr="00403E6A" w:rsidRDefault="00D817D0" w:rsidP="002C4A7C">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r>
      <w:r w:rsidR="00FB6282" w:rsidRPr="00403E6A">
        <w:rPr>
          <w:rFonts w:ascii="Times New Roman" w:hAnsi="Times New Roman" w:cs="Times New Roman"/>
          <w:sz w:val="24"/>
          <w:szCs w:val="24"/>
        </w:rPr>
        <w:t xml:space="preserve">Unfortunately, </w:t>
      </w:r>
      <w:r w:rsidR="00776696" w:rsidRPr="00403E6A">
        <w:rPr>
          <w:rFonts w:ascii="Times New Roman" w:hAnsi="Times New Roman" w:cs="Times New Roman"/>
          <w:sz w:val="24"/>
          <w:szCs w:val="24"/>
        </w:rPr>
        <w:t>th</w:t>
      </w:r>
      <w:r w:rsidR="003D7F2F" w:rsidRPr="00403E6A">
        <w:rPr>
          <w:rFonts w:ascii="Times New Roman" w:hAnsi="Times New Roman" w:cs="Times New Roman"/>
          <w:sz w:val="24"/>
          <w:szCs w:val="24"/>
        </w:rPr>
        <w:t>ese</w:t>
      </w:r>
      <w:r w:rsidR="00776696" w:rsidRPr="00403E6A">
        <w:rPr>
          <w:rFonts w:ascii="Times New Roman" w:hAnsi="Times New Roman" w:cs="Times New Roman"/>
          <w:sz w:val="24"/>
          <w:szCs w:val="24"/>
        </w:rPr>
        <w:t xml:space="preserve"> </w:t>
      </w:r>
      <w:r w:rsidR="003D7F2F" w:rsidRPr="00403E6A">
        <w:rPr>
          <w:rFonts w:ascii="Times New Roman" w:hAnsi="Times New Roman" w:cs="Times New Roman"/>
          <w:sz w:val="24"/>
          <w:szCs w:val="24"/>
        </w:rPr>
        <w:t xml:space="preserve">market trends and policy </w:t>
      </w:r>
      <w:r w:rsidR="00776696" w:rsidRPr="00403E6A">
        <w:rPr>
          <w:rFonts w:ascii="Times New Roman" w:hAnsi="Times New Roman" w:cs="Times New Roman"/>
          <w:sz w:val="24"/>
          <w:szCs w:val="24"/>
        </w:rPr>
        <w:t>initiative</w:t>
      </w:r>
      <w:r w:rsidR="003D7F2F" w:rsidRPr="00403E6A">
        <w:rPr>
          <w:rFonts w:ascii="Times New Roman" w:hAnsi="Times New Roman" w:cs="Times New Roman"/>
          <w:sz w:val="24"/>
          <w:szCs w:val="24"/>
        </w:rPr>
        <w:t>s</w:t>
      </w:r>
      <w:r w:rsidR="00776696" w:rsidRPr="00403E6A">
        <w:rPr>
          <w:rFonts w:ascii="Times New Roman" w:hAnsi="Times New Roman" w:cs="Times New Roman"/>
          <w:sz w:val="24"/>
          <w:szCs w:val="24"/>
        </w:rPr>
        <w:t xml:space="preserve"> ha</w:t>
      </w:r>
      <w:r w:rsidR="003D7F2F" w:rsidRPr="00403E6A">
        <w:rPr>
          <w:rFonts w:ascii="Times New Roman" w:hAnsi="Times New Roman" w:cs="Times New Roman"/>
          <w:sz w:val="24"/>
          <w:szCs w:val="24"/>
        </w:rPr>
        <w:t>ve</w:t>
      </w:r>
      <w:r w:rsidR="00776696" w:rsidRPr="00403E6A">
        <w:rPr>
          <w:rFonts w:ascii="Times New Roman" w:hAnsi="Times New Roman" w:cs="Times New Roman"/>
          <w:sz w:val="24"/>
          <w:szCs w:val="24"/>
        </w:rPr>
        <w:t xml:space="preserve"> </w:t>
      </w:r>
      <w:r w:rsidR="00336045" w:rsidRPr="00403E6A">
        <w:rPr>
          <w:rFonts w:ascii="Times New Roman" w:hAnsi="Times New Roman" w:cs="Times New Roman"/>
          <w:sz w:val="24"/>
          <w:szCs w:val="24"/>
        </w:rPr>
        <w:t xml:space="preserve">realized unforeseen consequences </w:t>
      </w:r>
      <w:r w:rsidR="00A87408" w:rsidRPr="00403E6A">
        <w:rPr>
          <w:rFonts w:ascii="Times New Roman" w:hAnsi="Times New Roman" w:cs="Times New Roman"/>
          <w:sz w:val="24"/>
          <w:szCs w:val="24"/>
        </w:rPr>
        <w:t xml:space="preserve">for health care </w:t>
      </w:r>
      <w:r w:rsidR="002C2B55" w:rsidRPr="00403E6A">
        <w:rPr>
          <w:rFonts w:ascii="Times New Roman" w:hAnsi="Times New Roman" w:cs="Times New Roman"/>
          <w:sz w:val="24"/>
          <w:szCs w:val="24"/>
        </w:rPr>
        <w:t>prices</w:t>
      </w:r>
      <w:r w:rsidR="00A87408" w:rsidRPr="00403E6A">
        <w:rPr>
          <w:rFonts w:ascii="Times New Roman" w:hAnsi="Times New Roman" w:cs="Times New Roman"/>
          <w:sz w:val="24"/>
          <w:szCs w:val="24"/>
        </w:rPr>
        <w:t xml:space="preserve"> in America. Specifically, </w:t>
      </w:r>
      <w:r w:rsidR="00A86CB5" w:rsidRPr="00403E6A">
        <w:rPr>
          <w:rFonts w:ascii="Times New Roman" w:hAnsi="Times New Roman" w:cs="Times New Roman"/>
          <w:sz w:val="24"/>
          <w:szCs w:val="24"/>
        </w:rPr>
        <w:t xml:space="preserve">the </w:t>
      </w:r>
      <w:r w:rsidR="002C2B55" w:rsidRPr="00403E6A">
        <w:rPr>
          <w:rFonts w:ascii="Times New Roman" w:hAnsi="Times New Roman" w:cs="Times New Roman"/>
          <w:sz w:val="24"/>
          <w:szCs w:val="24"/>
        </w:rPr>
        <w:t xml:space="preserve">heightened </w:t>
      </w:r>
      <w:r w:rsidR="00A86CB5" w:rsidRPr="00403E6A">
        <w:rPr>
          <w:rFonts w:ascii="Times New Roman" w:hAnsi="Times New Roman" w:cs="Times New Roman"/>
          <w:sz w:val="24"/>
          <w:szCs w:val="24"/>
        </w:rPr>
        <w:t xml:space="preserve">desire to pursue care coordination has </w:t>
      </w:r>
      <w:r w:rsidR="00B22C3F" w:rsidRPr="00403E6A">
        <w:rPr>
          <w:rFonts w:ascii="Times New Roman" w:hAnsi="Times New Roman" w:cs="Times New Roman"/>
          <w:sz w:val="24"/>
          <w:szCs w:val="24"/>
        </w:rPr>
        <w:t xml:space="preserve">coincided with a </w:t>
      </w:r>
      <w:r w:rsidR="00096CB6" w:rsidRPr="00403E6A">
        <w:rPr>
          <w:rFonts w:ascii="Times New Roman" w:hAnsi="Times New Roman" w:cs="Times New Roman"/>
          <w:sz w:val="24"/>
          <w:szCs w:val="24"/>
        </w:rPr>
        <w:t xml:space="preserve">marketplace </w:t>
      </w:r>
      <w:r w:rsidR="00CE5362" w:rsidRPr="00403E6A">
        <w:rPr>
          <w:rFonts w:ascii="Times New Roman" w:hAnsi="Times New Roman" w:cs="Times New Roman"/>
          <w:sz w:val="24"/>
          <w:szCs w:val="24"/>
        </w:rPr>
        <w:t xml:space="preserve">of </w:t>
      </w:r>
      <w:r w:rsidR="00096CB6" w:rsidRPr="00403E6A">
        <w:rPr>
          <w:rFonts w:ascii="Times New Roman" w:hAnsi="Times New Roman" w:cs="Times New Roman"/>
          <w:sz w:val="24"/>
          <w:szCs w:val="24"/>
        </w:rPr>
        <w:t>providers and insurers that ha</w:t>
      </w:r>
      <w:r w:rsidR="008102B3" w:rsidRPr="00403E6A">
        <w:rPr>
          <w:rFonts w:ascii="Times New Roman" w:hAnsi="Times New Roman" w:cs="Times New Roman"/>
          <w:sz w:val="24"/>
          <w:szCs w:val="24"/>
        </w:rPr>
        <w:t xml:space="preserve">s </w:t>
      </w:r>
      <w:r w:rsidR="00396C3F" w:rsidRPr="00403E6A">
        <w:rPr>
          <w:rFonts w:ascii="Times New Roman" w:hAnsi="Times New Roman" w:cs="Times New Roman"/>
          <w:sz w:val="24"/>
          <w:szCs w:val="24"/>
        </w:rPr>
        <w:t>concentrated</w:t>
      </w:r>
      <w:r w:rsidR="00577032" w:rsidRPr="00403E6A">
        <w:rPr>
          <w:rFonts w:ascii="Times New Roman" w:hAnsi="Times New Roman" w:cs="Times New Roman"/>
          <w:sz w:val="24"/>
          <w:szCs w:val="24"/>
        </w:rPr>
        <w:t xml:space="preserve"> in recent years</w:t>
      </w:r>
      <w:r w:rsidR="005E18C4" w:rsidRPr="00403E6A">
        <w:rPr>
          <w:rFonts w:ascii="Times New Roman" w:hAnsi="Times New Roman" w:cs="Times New Roman"/>
          <w:sz w:val="24"/>
          <w:szCs w:val="24"/>
        </w:rPr>
        <w:t>.</w:t>
      </w:r>
      <w:r w:rsidR="00A35407" w:rsidRPr="00403E6A">
        <w:rPr>
          <w:rFonts w:ascii="Times New Roman" w:hAnsi="Times New Roman" w:cs="Times New Roman"/>
          <w:sz w:val="24"/>
          <w:szCs w:val="24"/>
        </w:rPr>
        <w:t xml:space="preserve"> </w:t>
      </w:r>
      <w:r w:rsidR="00D04940" w:rsidRPr="00403E6A">
        <w:rPr>
          <w:rFonts w:ascii="Times New Roman" w:hAnsi="Times New Roman" w:cs="Times New Roman"/>
          <w:sz w:val="24"/>
          <w:szCs w:val="24"/>
        </w:rPr>
        <w:t xml:space="preserve">According to </w:t>
      </w:r>
      <w:r w:rsidR="004A3437" w:rsidRPr="00403E6A">
        <w:rPr>
          <w:rFonts w:ascii="Times New Roman" w:hAnsi="Times New Roman" w:cs="Times New Roman"/>
          <w:sz w:val="24"/>
          <w:szCs w:val="24"/>
        </w:rPr>
        <w:t xml:space="preserve">an aggregation of </w:t>
      </w:r>
      <w:r w:rsidR="00D04940" w:rsidRPr="00403E6A">
        <w:rPr>
          <w:rFonts w:ascii="Times New Roman" w:hAnsi="Times New Roman" w:cs="Times New Roman"/>
          <w:sz w:val="24"/>
          <w:szCs w:val="24"/>
        </w:rPr>
        <w:t>Kaufman Hall</w:t>
      </w:r>
      <w:r w:rsidR="004A3437" w:rsidRPr="00403E6A">
        <w:rPr>
          <w:rFonts w:ascii="Times New Roman" w:hAnsi="Times New Roman" w:cs="Times New Roman"/>
          <w:sz w:val="24"/>
          <w:szCs w:val="24"/>
        </w:rPr>
        <w:t xml:space="preserve"> data</w:t>
      </w:r>
      <w:r w:rsidR="00D04940" w:rsidRPr="00403E6A">
        <w:rPr>
          <w:rFonts w:ascii="Times New Roman" w:hAnsi="Times New Roman" w:cs="Times New Roman"/>
          <w:sz w:val="24"/>
          <w:szCs w:val="24"/>
        </w:rPr>
        <w:t xml:space="preserve">, </w:t>
      </w:r>
      <w:r w:rsidR="00CE5362" w:rsidRPr="00403E6A">
        <w:rPr>
          <w:rFonts w:ascii="Times New Roman" w:hAnsi="Times New Roman" w:cs="Times New Roman"/>
          <w:sz w:val="24"/>
          <w:szCs w:val="24"/>
        </w:rPr>
        <w:t xml:space="preserve">from </w:t>
      </w:r>
      <w:r w:rsidR="00BA7AD6" w:rsidRPr="00403E6A">
        <w:rPr>
          <w:rFonts w:ascii="Times New Roman" w:hAnsi="Times New Roman" w:cs="Times New Roman"/>
          <w:sz w:val="24"/>
          <w:szCs w:val="24"/>
        </w:rPr>
        <w:t>2000-</w:t>
      </w:r>
      <w:r w:rsidR="00CE5362" w:rsidRPr="00403E6A">
        <w:rPr>
          <w:rFonts w:ascii="Times New Roman" w:hAnsi="Times New Roman" w:cs="Times New Roman"/>
          <w:sz w:val="24"/>
          <w:szCs w:val="24"/>
        </w:rPr>
        <w:t>200</w:t>
      </w:r>
      <w:r w:rsidR="00BA7AD6" w:rsidRPr="00403E6A">
        <w:rPr>
          <w:rFonts w:ascii="Times New Roman" w:hAnsi="Times New Roman" w:cs="Times New Roman"/>
          <w:sz w:val="24"/>
          <w:szCs w:val="24"/>
        </w:rPr>
        <w:t xml:space="preserve">9, there was an average of </w:t>
      </w:r>
      <w:r w:rsidR="00DB638F" w:rsidRPr="00403E6A">
        <w:rPr>
          <w:rFonts w:ascii="Times New Roman" w:hAnsi="Times New Roman" w:cs="Times New Roman"/>
          <w:sz w:val="24"/>
          <w:szCs w:val="24"/>
        </w:rPr>
        <w:t>sixty</w:t>
      </w:r>
      <w:r w:rsidR="00232EC3" w:rsidRPr="00403E6A">
        <w:rPr>
          <w:rFonts w:ascii="Times New Roman" w:hAnsi="Times New Roman" w:cs="Times New Roman"/>
          <w:sz w:val="24"/>
          <w:szCs w:val="24"/>
        </w:rPr>
        <w:t xml:space="preserve"> hospital and health system mergers and acquisitions per year.</w:t>
      </w:r>
      <w:r w:rsidR="0042266F" w:rsidRPr="00403E6A">
        <w:rPr>
          <w:rStyle w:val="FootnoteReference"/>
          <w:rFonts w:ascii="Times New Roman" w:hAnsi="Times New Roman" w:cs="Times New Roman"/>
          <w:sz w:val="24"/>
          <w:szCs w:val="24"/>
        </w:rPr>
        <w:footnoteReference w:id="19"/>
      </w:r>
      <w:r w:rsidR="00232EC3" w:rsidRPr="00403E6A">
        <w:rPr>
          <w:rFonts w:ascii="Times New Roman" w:hAnsi="Times New Roman" w:cs="Times New Roman"/>
          <w:sz w:val="24"/>
          <w:szCs w:val="24"/>
        </w:rPr>
        <w:t xml:space="preserve"> From 2010-2019, that number increased </w:t>
      </w:r>
      <w:r w:rsidR="00CE68A3" w:rsidRPr="00403E6A">
        <w:rPr>
          <w:rFonts w:ascii="Times New Roman" w:hAnsi="Times New Roman" w:cs="Times New Roman"/>
          <w:sz w:val="24"/>
          <w:szCs w:val="24"/>
        </w:rPr>
        <w:t xml:space="preserve">to </w:t>
      </w:r>
      <w:r w:rsidR="00D6182C" w:rsidRPr="00403E6A">
        <w:rPr>
          <w:rFonts w:ascii="Times New Roman" w:hAnsi="Times New Roman" w:cs="Times New Roman"/>
          <w:sz w:val="24"/>
          <w:szCs w:val="24"/>
        </w:rPr>
        <w:t>ninety-six</w:t>
      </w:r>
      <w:r w:rsidR="00CE68A3" w:rsidRPr="00403E6A">
        <w:rPr>
          <w:rFonts w:ascii="Times New Roman" w:hAnsi="Times New Roman" w:cs="Times New Roman"/>
          <w:sz w:val="24"/>
          <w:szCs w:val="24"/>
        </w:rPr>
        <w:t xml:space="preserve"> </w:t>
      </w:r>
      <w:r w:rsidR="008A391D" w:rsidRPr="00403E6A">
        <w:rPr>
          <w:rFonts w:ascii="Times New Roman" w:hAnsi="Times New Roman" w:cs="Times New Roman"/>
          <w:sz w:val="24"/>
          <w:szCs w:val="24"/>
        </w:rPr>
        <w:t>average hospital and health system mergers per year.</w:t>
      </w:r>
      <w:r w:rsidR="00D84E2D" w:rsidRPr="00403E6A">
        <w:rPr>
          <w:rStyle w:val="FootnoteReference"/>
          <w:rFonts w:ascii="Times New Roman" w:hAnsi="Times New Roman" w:cs="Times New Roman"/>
          <w:sz w:val="24"/>
          <w:szCs w:val="24"/>
        </w:rPr>
        <w:footnoteReference w:id="20"/>
      </w:r>
      <w:r w:rsidR="008A391D" w:rsidRPr="00403E6A">
        <w:rPr>
          <w:rFonts w:ascii="Times New Roman" w:hAnsi="Times New Roman" w:cs="Times New Roman"/>
          <w:sz w:val="24"/>
          <w:szCs w:val="24"/>
        </w:rPr>
        <w:t xml:space="preserve"> </w:t>
      </w:r>
      <w:r w:rsidR="00F56306" w:rsidRPr="00403E6A">
        <w:rPr>
          <w:rFonts w:ascii="Times New Roman" w:hAnsi="Times New Roman" w:cs="Times New Roman"/>
          <w:sz w:val="24"/>
          <w:szCs w:val="24"/>
        </w:rPr>
        <w:t xml:space="preserve">This report also highlighted the fact that mergers and acquisitions will </w:t>
      </w:r>
      <w:r w:rsidR="00672070" w:rsidRPr="00403E6A">
        <w:rPr>
          <w:rFonts w:ascii="Times New Roman" w:hAnsi="Times New Roman" w:cs="Times New Roman"/>
          <w:sz w:val="24"/>
          <w:szCs w:val="24"/>
        </w:rPr>
        <w:t xml:space="preserve">continue to </w:t>
      </w:r>
      <w:r w:rsidR="00083CE7" w:rsidRPr="00403E6A">
        <w:rPr>
          <w:rFonts w:ascii="Times New Roman" w:hAnsi="Times New Roman" w:cs="Times New Roman"/>
          <w:sz w:val="24"/>
          <w:szCs w:val="24"/>
        </w:rPr>
        <w:t>trend upward</w:t>
      </w:r>
      <w:r w:rsidR="00F844C4" w:rsidRPr="00403E6A">
        <w:rPr>
          <w:rFonts w:ascii="Times New Roman" w:hAnsi="Times New Roman" w:cs="Times New Roman"/>
          <w:sz w:val="24"/>
          <w:szCs w:val="24"/>
        </w:rPr>
        <w:t>.</w:t>
      </w:r>
      <w:r w:rsidR="001A528B" w:rsidRPr="00403E6A">
        <w:rPr>
          <w:rStyle w:val="FootnoteReference"/>
          <w:rFonts w:ascii="Times New Roman" w:hAnsi="Times New Roman" w:cs="Times New Roman"/>
          <w:sz w:val="24"/>
          <w:szCs w:val="24"/>
        </w:rPr>
        <w:footnoteReference w:id="21"/>
      </w:r>
      <w:r w:rsidR="00083CE7" w:rsidRPr="00403E6A">
        <w:rPr>
          <w:rFonts w:ascii="Times New Roman" w:hAnsi="Times New Roman" w:cs="Times New Roman"/>
          <w:sz w:val="24"/>
          <w:szCs w:val="24"/>
        </w:rPr>
        <w:t xml:space="preserve"> </w:t>
      </w:r>
      <w:r w:rsidR="00943D91" w:rsidRPr="00403E6A">
        <w:rPr>
          <w:rFonts w:ascii="Times New Roman" w:hAnsi="Times New Roman" w:cs="Times New Roman"/>
          <w:sz w:val="24"/>
          <w:szCs w:val="24"/>
        </w:rPr>
        <w:t>Moreover, this trend i</w:t>
      </w:r>
      <w:r w:rsidR="00D95C72" w:rsidRPr="00403E6A">
        <w:rPr>
          <w:rFonts w:ascii="Times New Roman" w:hAnsi="Times New Roman" w:cs="Times New Roman"/>
          <w:sz w:val="24"/>
          <w:szCs w:val="24"/>
        </w:rPr>
        <w:t>n</w:t>
      </w:r>
      <w:r w:rsidR="00943D91" w:rsidRPr="00403E6A">
        <w:rPr>
          <w:rFonts w:ascii="Times New Roman" w:hAnsi="Times New Roman" w:cs="Times New Roman"/>
          <w:sz w:val="24"/>
          <w:szCs w:val="24"/>
        </w:rPr>
        <w:t xml:space="preserve"> consolidation </w:t>
      </w:r>
      <w:r w:rsidR="00575FBB" w:rsidRPr="00403E6A">
        <w:rPr>
          <w:rFonts w:ascii="Times New Roman" w:hAnsi="Times New Roman" w:cs="Times New Roman"/>
          <w:sz w:val="24"/>
          <w:szCs w:val="24"/>
        </w:rPr>
        <w:t>has also shifted from larger systems acquiring smaller organizations to larger systems merging</w:t>
      </w:r>
      <w:r w:rsidR="00322E1F" w:rsidRPr="00403E6A">
        <w:rPr>
          <w:rFonts w:ascii="Times New Roman" w:hAnsi="Times New Roman" w:cs="Times New Roman"/>
          <w:sz w:val="24"/>
          <w:szCs w:val="24"/>
        </w:rPr>
        <w:t xml:space="preserve">. </w:t>
      </w:r>
      <w:r w:rsidR="00D524FE" w:rsidRPr="00403E6A">
        <w:rPr>
          <w:rFonts w:ascii="Times New Roman" w:hAnsi="Times New Roman" w:cs="Times New Roman"/>
          <w:sz w:val="24"/>
          <w:szCs w:val="24"/>
        </w:rPr>
        <w:t xml:space="preserve">The average size of seller by annual revenue was below 2018’s </w:t>
      </w:r>
      <w:r w:rsidR="00E31C2E" w:rsidRPr="00403E6A">
        <w:rPr>
          <w:rFonts w:ascii="Times New Roman" w:hAnsi="Times New Roman" w:cs="Times New Roman"/>
          <w:sz w:val="24"/>
          <w:szCs w:val="24"/>
        </w:rPr>
        <w:t xml:space="preserve">record </w:t>
      </w:r>
      <w:r w:rsidR="00D524FE" w:rsidRPr="00403E6A">
        <w:rPr>
          <w:rFonts w:ascii="Times New Roman" w:hAnsi="Times New Roman" w:cs="Times New Roman"/>
          <w:sz w:val="24"/>
          <w:szCs w:val="24"/>
        </w:rPr>
        <w:t>high of $409 million but remained above historical averages at $278 million.</w:t>
      </w:r>
      <w:r w:rsidR="00F15034" w:rsidRPr="00403E6A">
        <w:rPr>
          <w:rStyle w:val="FootnoteReference"/>
          <w:rFonts w:ascii="Times New Roman" w:hAnsi="Times New Roman" w:cs="Times New Roman"/>
          <w:sz w:val="24"/>
          <w:szCs w:val="24"/>
        </w:rPr>
        <w:footnoteReference w:id="22"/>
      </w:r>
      <w:r w:rsidR="00D524FE" w:rsidRPr="00403E6A">
        <w:rPr>
          <w:rFonts w:ascii="Times New Roman" w:hAnsi="Times New Roman" w:cs="Times New Roman"/>
          <w:sz w:val="24"/>
          <w:szCs w:val="24"/>
        </w:rPr>
        <w:t xml:space="preserve"> </w:t>
      </w:r>
      <w:r w:rsidR="003E19FF" w:rsidRPr="00403E6A">
        <w:rPr>
          <w:rFonts w:ascii="Times New Roman" w:hAnsi="Times New Roman" w:cs="Times New Roman"/>
          <w:sz w:val="24"/>
          <w:szCs w:val="24"/>
        </w:rPr>
        <w:t xml:space="preserve">The average seller size by revenue has trended upward </w:t>
      </w:r>
      <w:r w:rsidR="00FA1A91" w:rsidRPr="00403E6A">
        <w:rPr>
          <w:rFonts w:ascii="Times New Roman" w:hAnsi="Times New Roman" w:cs="Times New Roman"/>
          <w:sz w:val="24"/>
          <w:szCs w:val="24"/>
        </w:rPr>
        <w:t>sin</w:t>
      </w:r>
      <w:r w:rsidR="00812EDC" w:rsidRPr="00403E6A">
        <w:rPr>
          <w:rFonts w:ascii="Times New Roman" w:hAnsi="Times New Roman" w:cs="Times New Roman"/>
          <w:sz w:val="24"/>
          <w:szCs w:val="24"/>
        </w:rPr>
        <w:t xml:space="preserve">ce 2009, from almost $150mm </w:t>
      </w:r>
      <w:r w:rsidR="00451467" w:rsidRPr="00403E6A">
        <w:rPr>
          <w:rFonts w:ascii="Times New Roman" w:hAnsi="Times New Roman" w:cs="Times New Roman"/>
          <w:sz w:val="24"/>
          <w:szCs w:val="24"/>
        </w:rPr>
        <w:t>to over $350mm in 2018.</w:t>
      </w:r>
      <w:r w:rsidR="00575FBB" w:rsidRPr="00403E6A">
        <w:rPr>
          <w:rFonts w:ascii="Times New Roman" w:hAnsi="Times New Roman" w:cs="Times New Roman"/>
          <w:sz w:val="24"/>
          <w:szCs w:val="24"/>
        </w:rPr>
        <w:t xml:space="preserve"> </w:t>
      </w:r>
      <w:r w:rsidR="00CB28DC" w:rsidRPr="00403E6A">
        <w:rPr>
          <w:rStyle w:val="FootnoteReference"/>
          <w:rFonts w:ascii="Times New Roman" w:hAnsi="Times New Roman" w:cs="Times New Roman"/>
          <w:sz w:val="24"/>
          <w:szCs w:val="24"/>
        </w:rPr>
        <w:footnoteReference w:id="23"/>
      </w:r>
      <w:r w:rsidR="00CB28DC" w:rsidRPr="00403E6A">
        <w:rPr>
          <w:rFonts w:ascii="Times New Roman" w:hAnsi="Times New Roman" w:cs="Times New Roman"/>
          <w:sz w:val="24"/>
          <w:szCs w:val="24"/>
        </w:rPr>
        <w:t xml:space="preserve"> </w:t>
      </w:r>
      <w:r w:rsidR="00377AB5" w:rsidRPr="00403E6A">
        <w:rPr>
          <w:rFonts w:ascii="Times New Roman" w:hAnsi="Times New Roman" w:cs="Times New Roman"/>
          <w:sz w:val="24"/>
          <w:szCs w:val="24"/>
        </w:rPr>
        <w:t xml:space="preserve">Although </w:t>
      </w:r>
      <w:r w:rsidR="004B79C7" w:rsidRPr="00403E6A">
        <w:rPr>
          <w:rFonts w:ascii="Times New Roman" w:hAnsi="Times New Roman" w:cs="Times New Roman"/>
          <w:sz w:val="24"/>
          <w:szCs w:val="24"/>
        </w:rPr>
        <w:t xml:space="preserve">provider </w:t>
      </w:r>
      <w:r w:rsidR="007C7227" w:rsidRPr="00403E6A">
        <w:rPr>
          <w:rFonts w:ascii="Times New Roman" w:hAnsi="Times New Roman" w:cs="Times New Roman"/>
          <w:sz w:val="24"/>
          <w:szCs w:val="24"/>
        </w:rPr>
        <w:t xml:space="preserve">network executives </w:t>
      </w:r>
      <w:r w:rsidR="004B79C7" w:rsidRPr="00403E6A">
        <w:rPr>
          <w:rFonts w:ascii="Times New Roman" w:hAnsi="Times New Roman" w:cs="Times New Roman"/>
          <w:sz w:val="24"/>
          <w:szCs w:val="24"/>
        </w:rPr>
        <w:t xml:space="preserve">have predicted that these consolidation trends would lead to </w:t>
      </w:r>
      <w:r w:rsidR="00CF6782" w:rsidRPr="00403E6A">
        <w:rPr>
          <w:rFonts w:ascii="Times New Roman" w:hAnsi="Times New Roman" w:cs="Times New Roman"/>
          <w:sz w:val="24"/>
          <w:szCs w:val="24"/>
        </w:rPr>
        <w:t xml:space="preserve">better value for consumers, </w:t>
      </w:r>
      <w:r w:rsidR="00CC7A89" w:rsidRPr="00403E6A">
        <w:rPr>
          <w:rFonts w:ascii="Times New Roman" w:hAnsi="Times New Roman" w:cs="Times New Roman"/>
          <w:sz w:val="24"/>
          <w:szCs w:val="24"/>
        </w:rPr>
        <w:t xml:space="preserve">that value has yet to be realized. </w:t>
      </w:r>
      <w:r w:rsidR="00BB132F" w:rsidRPr="00403E6A">
        <w:rPr>
          <w:rFonts w:ascii="Times New Roman" w:hAnsi="Times New Roman" w:cs="Times New Roman"/>
          <w:sz w:val="24"/>
          <w:szCs w:val="24"/>
        </w:rPr>
        <w:t>Unfortunately, a</w:t>
      </w:r>
      <w:r w:rsidR="003C3B63" w:rsidRPr="00403E6A">
        <w:rPr>
          <w:rFonts w:ascii="Times New Roman" w:hAnsi="Times New Roman" w:cs="Times New Roman"/>
          <w:sz w:val="24"/>
          <w:szCs w:val="24"/>
        </w:rPr>
        <w:t xml:space="preserve">s market </w:t>
      </w:r>
      <w:r w:rsidR="00526CA5" w:rsidRPr="00403E6A">
        <w:rPr>
          <w:rFonts w:ascii="Times New Roman" w:hAnsi="Times New Roman" w:cs="Times New Roman"/>
          <w:sz w:val="24"/>
          <w:szCs w:val="24"/>
        </w:rPr>
        <w:t xml:space="preserve">concentration has </w:t>
      </w:r>
      <w:r w:rsidR="009575F8" w:rsidRPr="00403E6A">
        <w:rPr>
          <w:rFonts w:ascii="Times New Roman" w:hAnsi="Times New Roman" w:cs="Times New Roman"/>
          <w:sz w:val="24"/>
          <w:szCs w:val="24"/>
        </w:rPr>
        <w:t>proliferated</w:t>
      </w:r>
      <w:r w:rsidR="00526CA5" w:rsidRPr="00403E6A">
        <w:rPr>
          <w:rFonts w:ascii="Times New Roman" w:hAnsi="Times New Roman" w:cs="Times New Roman"/>
          <w:sz w:val="24"/>
          <w:szCs w:val="24"/>
        </w:rPr>
        <w:t>, as ha</w:t>
      </w:r>
      <w:r w:rsidR="00FD2CF0" w:rsidRPr="00403E6A">
        <w:rPr>
          <w:rFonts w:ascii="Times New Roman" w:hAnsi="Times New Roman" w:cs="Times New Roman"/>
          <w:sz w:val="24"/>
          <w:szCs w:val="24"/>
        </w:rPr>
        <w:t>s the buying power of provider</w:t>
      </w:r>
      <w:r w:rsidR="00C578EE" w:rsidRPr="00403E6A">
        <w:rPr>
          <w:rFonts w:ascii="Times New Roman" w:hAnsi="Times New Roman" w:cs="Times New Roman"/>
          <w:sz w:val="24"/>
          <w:szCs w:val="24"/>
        </w:rPr>
        <w:t xml:space="preserve"> networks</w:t>
      </w:r>
      <w:r w:rsidR="009575F8" w:rsidRPr="00403E6A">
        <w:rPr>
          <w:rFonts w:ascii="Times New Roman" w:hAnsi="Times New Roman" w:cs="Times New Roman"/>
          <w:sz w:val="24"/>
          <w:szCs w:val="24"/>
        </w:rPr>
        <w:t>, which has resulted in increased</w:t>
      </w:r>
      <w:r w:rsidR="00526CA5" w:rsidRPr="00403E6A">
        <w:rPr>
          <w:rFonts w:ascii="Times New Roman" w:hAnsi="Times New Roman" w:cs="Times New Roman"/>
          <w:sz w:val="24"/>
          <w:szCs w:val="24"/>
        </w:rPr>
        <w:t xml:space="preserve"> health care prices.</w:t>
      </w:r>
      <w:r w:rsidR="005246A0" w:rsidRPr="00403E6A">
        <w:rPr>
          <w:rStyle w:val="FootnoteReference"/>
          <w:rFonts w:ascii="Times New Roman" w:hAnsi="Times New Roman" w:cs="Times New Roman"/>
          <w:sz w:val="24"/>
          <w:szCs w:val="24"/>
        </w:rPr>
        <w:footnoteReference w:id="24"/>
      </w:r>
    </w:p>
    <w:p w14:paraId="0374CC98" w14:textId="7CAD4A47" w:rsidR="00FF5E53" w:rsidRPr="00403E6A" w:rsidRDefault="00096CB6" w:rsidP="00410D7E">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lastRenderedPageBreak/>
        <w:t xml:space="preserve"> </w:t>
      </w:r>
      <w:r w:rsidR="00CC7A89" w:rsidRPr="00403E6A">
        <w:rPr>
          <w:rFonts w:ascii="Times New Roman" w:hAnsi="Times New Roman" w:cs="Times New Roman"/>
          <w:sz w:val="24"/>
          <w:szCs w:val="24"/>
        </w:rPr>
        <w:tab/>
        <w:t xml:space="preserve">This paper </w:t>
      </w:r>
      <w:r w:rsidR="001A5ADA" w:rsidRPr="00403E6A">
        <w:rPr>
          <w:rFonts w:ascii="Times New Roman" w:hAnsi="Times New Roman" w:cs="Times New Roman"/>
          <w:sz w:val="24"/>
          <w:szCs w:val="24"/>
        </w:rPr>
        <w:t>will further analyze these concentration trends and prov</w:t>
      </w:r>
      <w:r w:rsidR="009E64DD" w:rsidRPr="00403E6A">
        <w:rPr>
          <w:rFonts w:ascii="Times New Roman" w:hAnsi="Times New Roman" w:cs="Times New Roman"/>
          <w:sz w:val="24"/>
          <w:szCs w:val="24"/>
        </w:rPr>
        <w:t xml:space="preserve">ide insight into proposals that </w:t>
      </w:r>
      <w:r w:rsidR="00C05ADF" w:rsidRPr="00403E6A">
        <w:rPr>
          <w:rFonts w:ascii="Times New Roman" w:hAnsi="Times New Roman" w:cs="Times New Roman"/>
          <w:sz w:val="24"/>
          <w:szCs w:val="24"/>
        </w:rPr>
        <w:t>seek to combat the double</w:t>
      </w:r>
      <w:r w:rsidR="004F75D4" w:rsidRPr="00403E6A">
        <w:rPr>
          <w:rFonts w:ascii="Times New Roman" w:hAnsi="Times New Roman" w:cs="Times New Roman"/>
          <w:sz w:val="24"/>
          <w:szCs w:val="24"/>
        </w:rPr>
        <w:t>-</w:t>
      </w:r>
      <w:r w:rsidR="00C05ADF" w:rsidRPr="00403E6A">
        <w:rPr>
          <w:rFonts w:ascii="Times New Roman" w:hAnsi="Times New Roman" w:cs="Times New Roman"/>
          <w:sz w:val="24"/>
          <w:szCs w:val="24"/>
        </w:rPr>
        <w:t xml:space="preserve">edged sword of fragmentation and </w:t>
      </w:r>
      <w:r w:rsidR="004F75D4" w:rsidRPr="00403E6A">
        <w:rPr>
          <w:rFonts w:ascii="Times New Roman" w:hAnsi="Times New Roman" w:cs="Times New Roman"/>
          <w:sz w:val="24"/>
          <w:szCs w:val="24"/>
        </w:rPr>
        <w:t xml:space="preserve">competition. </w:t>
      </w:r>
      <w:r w:rsidR="00190774" w:rsidRPr="00403E6A">
        <w:rPr>
          <w:rFonts w:ascii="Times New Roman" w:hAnsi="Times New Roman" w:cs="Times New Roman"/>
          <w:sz w:val="24"/>
          <w:szCs w:val="24"/>
        </w:rPr>
        <w:t xml:space="preserve">The paper will </w:t>
      </w:r>
      <w:r w:rsidR="002F4AEA" w:rsidRPr="00403E6A">
        <w:rPr>
          <w:rFonts w:ascii="Times New Roman" w:hAnsi="Times New Roman" w:cs="Times New Roman"/>
          <w:sz w:val="24"/>
          <w:szCs w:val="24"/>
        </w:rPr>
        <w:t xml:space="preserve">analyze some of the trends </w:t>
      </w:r>
      <w:r w:rsidR="003C62E7" w:rsidRPr="00403E6A">
        <w:rPr>
          <w:rFonts w:ascii="Times New Roman" w:hAnsi="Times New Roman" w:cs="Times New Roman"/>
          <w:sz w:val="24"/>
          <w:szCs w:val="24"/>
        </w:rPr>
        <w:t>in</w:t>
      </w:r>
      <w:r w:rsidR="002F4AEA" w:rsidRPr="00403E6A">
        <w:rPr>
          <w:rFonts w:ascii="Times New Roman" w:hAnsi="Times New Roman" w:cs="Times New Roman"/>
          <w:sz w:val="24"/>
          <w:szCs w:val="24"/>
        </w:rPr>
        <w:t xml:space="preserve"> consolidation, as well as a dive into the lack on anti-tr</w:t>
      </w:r>
      <w:r w:rsidR="00BE19D6" w:rsidRPr="00403E6A">
        <w:rPr>
          <w:rFonts w:ascii="Times New Roman" w:hAnsi="Times New Roman" w:cs="Times New Roman"/>
          <w:sz w:val="24"/>
          <w:szCs w:val="24"/>
        </w:rPr>
        <w:t>u</w:t>
      </w:r>
      <w:r w:rsidR="002F4AEA" w:rsidRPr="00403E6A">
        <w:rPr>
          <w:rFonts w:ascii="Times New Roman" w:hAnsi="Times New Roman" w:cs="Times New Roman"/>
          <w:sz w:val="24"/>
          <w:szCs w:val="24"/>
        </w:rPr>
        <w:t xml:space="preserve">st </w:t>
      </w:r>
      <w:r w:rsidR="00BE19D6" w:rsidRPr="00403E6A">
        <w:rPr>
          <w:rFonts w:ascii="Times New Roman" w:hAnsi="Times New Roman" w:cs="Times New Roman"/>
          <w:sz w:val="24"/>
          <w:szCs w:val="24"/>
        </w:rPr>
        <w:t xml:space="preserve">litigation that has failed to counteract it. </w:t>
      </w:r>
      <w:r w:rsidR="00D56EA8" w:rsidRPr="00403E6A">
        <w:rPr>
          <w:rFonts w:ascii="Times New Roman" w:hAnsi="Times New Roman" w:cs="Times New Roman"/>
          <w:sz w:val="24"/>
          <w:szCs w:val="24"/>
        </w:rPr>
        <w:t xml:space="preserve">The paper </w:t>
      </w:r>
      <w:r w:rsidR="004F75D4" w:rsidRPr="00403E6A">
        <w:rPr>
          <w:rFonts w:ascii="Times New Roman" w:hAnsi="Times New Roman" w:cs="Times New Roman"/>
          <w:sz w:val="24"/>
          <w:szCs w:val="24"/>
        </w:rPr>
        <w:t xml:space="preserve">will argue </w:t>
      </w:r>
      <w:r w:rsidR="008148A2" w:rsidRPr="00403E6A">
        <w:rPr>
          <w:rFonts w:ascii="Times New Roman" w:hAnsi="Times New Roman" w:cs="Times New Roman"/>
          <w:sz w:val="24"/>
          <w:szCs w:val="24"/>
        </w:rPr>
        <w:t xml:space="preserve">in favor of </w:t>
      </w:r>
      <w:r w:rsidR="00660CE1" w:rsidRPr="00403E6A">
        <w:rPr>
          <w:rFonts w:ascii="Times New Roman" w:hAnsi="Times New Roman" w:cs="Times New Roman"/>
          <w:sz w:val="24"/>
          <w:szCs w:val="24"/>
        </w:rPr>
        <w:t xml:space="preserve">policy pursuits </w:t>
      </w:r>
      <w:r w:rsidR="008148A2" w:rsidRPr="00403E6A">
        <w:rPr>
          <w:rFonts w:ascii="Times New Roman" w:hAnsi="Times New Roman" w:cs="Times New Roman"/>
          <w:sz w:val="24"/>
          <w:szCs w:val="24"/>
        </w:rPr>
        <w:t xml:space="preserve">that promote </w:t>
      </w:r>
      <w:r w:rsidR="00EB6E8A" w:rsidRPr="00403E6A">
        <w:rPr>
          <w:rFonts w:ascii="Times New Roman" w:hAnsi="Times New Roman" w:cs="Times New Roman"/>
          <w:sz w:val="24"/>
          <w:szCs w:val="24"/>
        </w:rPr>
        <w:t xml:space="preserve">greater </w:t>
      </w:r>
      <w:r w:rsidR="008148A2" w:rsidRPr="00403E6A">
        <w:rPr>
          <w:rFonts w:ascii="Times New Roman" w:hAnsi="Times New Roman" w:cs="Times New Roman"/>
          <w:sz w:val="24"/>
          <w:szCs w:val="24"/>
        </w:rPr>
        <w:t>consumerism</w:t>
      </w:r>
      <w:r w:rsidR="00C80255" w:rsidRPr="00403E6A">
        <w:rPr>
          <w:rFonts w:ascii="Times New Roman" w:hAnsi="Times New Roman" w:cs="Times New Roman"/>
          <w:sz w:val="24"/>
          <w:szCs w:val="24"/>
        </w:rPr>
        <w:t xml:space="preserve"> within the system</w:t>
      </w:r>
      <w:r w:rsidR="008148A2" w:rsidRPr="00403E6A">
        <w:rPr>
          <w:rFonts w:ascii="Times New Roman" w:hAnsi="Times New Roman" w:cs="Times New Roman"/>
          <w:sz w:val="24"/>
          <w:szCs w:val="24"/>
        </w:rPr>
        <w:t xml:space="preserve">, </w:t>
      </w:r>
      <w:r w:rsidR="00EB6E8A" w:rsidRPr="00403E6A">
        <w:rPr>
          <w:rFonts w:ascii="Times New Roman" w:hAnsi="Times New Roman" w:cs="Times New Roman"/>
          <w:sz w:val="24"/>
          <w:szCs w:val="24"/>
        </w:rPr>
        <w:t xml:space="preserve">such as </w:t>
      </w:r>
      <w:r w:rsidR="00FE3289" w:rsidRPr="00403E6A">
        <w:rPr>
          <w:rFonts w:ascii="Times New Roman" w:hAnsi="Times New Roman" w:cs="Times New Roman"/>
          <w:sz w:val="24"/>
          <w:szCs w:val="24"/>
        </w:rPr>
        <w:t xml:space="preserve">the </w:t>
      </w:r>
      <w:r w:rsidR="00EB6E8A" w:rsidRPr="00403E6A">
        <w:rPr>
          <w:rFonts w:ascii="Times New Roman" w:hAnsi="Times New Roman" w:cs="Times New Roman"/>
          <w:sz w:val="24"/>
          <w:szCs w:val="24"/>
        </w:rPr>
        <w:t>Direct Primary Care</w:t>
      </w:r>
      <w:r w:rsidR="00FE3289" w:rsidRPr="00403E6A">
        <w:rPr>
          <w:rFonts w:ascii="Times New Roman" w:hAnsi="Times New Roman" w:cs="Times New Roman"/>
          <w:sz w:val="24"/>
          <w:szCs w:val="24"/>
        </w:rPr>
        <w:t xml:space="preserve"> model</w:t>
      </w:r>
      <w:r w:rsidR="00B26C85" w:rsidRPr="00403E6A">
        <w:rPr>
          <w:rFonts w:ascii="Times New Roman" w:hAnsi="Times New Roman" w:cs="Times New Roman"/>
          <w:sz w:val="24"/>
          <w:szCs w:val="24"/>
        </w:rPr>
        <w:t xml:space="preserve">. </w:t>
      </w:r>
      <w:r w:rsidR="00F27C61" w:rsidRPr="00403E6A">
        <w:rPr>
          <w:rFonts w:ascii="Times New Roman" w:hAnsi="Times New Roman" w:cs="Times New Roman"/>
          <w:sz w:val="24"/>
          <w:szCs w:val="24"/>
        </w:rPr>
        <w:t xml:space="preserve">These </w:t>
      </w:r>
      <w:r w:rsidR="00CD3D1B" w:rsidRPr="00403E6A">
        <w:rPr>
          <w:rFonts w:ascii="Times New Roman" w:hAnsi="Times New Roman" w:cs="Times New Roman"/>
          <w:sz w:val="24"/>
          <w:szCs w:val="24"/>
        </w:rPr>
        <w:t xml:space="preserve">concepts </w:t>
      </w:r>
      <w:r w:rsidR="00A43369" w:rsidRPr="00403E6A">
        <w:rPr>
          <w:rFonts w:ascii="Times New Roman" w:hAnsi="Times New Roman" w:cs="Times New Roman"/>
          <w:sz w:val="24"/>
          <w:szCs w:val="24"/>
        </w:rPr>
        <w:t xml:space="preserve">can </w:t>
      </w:r>
      <w:r w:rsidR="00CD3D1B" w:rsidRPr="00403E6A">
        <w:rPr>
          <w:rFonts w:ascii="Times New Roman" w:hAnsi="Times New Roman" w:cs="Times New Roman"/>
          <w:sz w:val="24"/>
          <w:szCs w:val="24"/>
        </w:rPr>
        <w:t xml:space="preserve">help manage prices, over-utilization, and expand greater access to </w:t>
      </w:r>
      <w:r w:rsidR="008857DB" w:rsidRPr="00403E6A">
        <w:rPr>
          <w:rFonts w:ascii="Times New Roman" w:hAnsi="Times New Roman" w:cs="Times New Roman"/>
          <w:sz w:val="24"/>
          <w:szCs w:val="24"/>
        </w:rPr>
        <w:t>American citizens</w:t>
      </w:r>
      <w:r w:rsidR="00541CA5" w:rsidRPr="00403E6A">
        <w:rPr>
          <w:rFonts w:ascii="Times New Roman" w:hAnsi="Times New Roman" w:cs="Times New Roman"/>
          <w:sz w:val="24"/>
          <w:szCs w:val="24"/>
        </w:rPr>
        <w:t>.</w:t>
      </w:r>
      <w:r w:rsidR="000357B2" w:rsidRPr="00403E6A">
        <w:rPr>
          <w:rFonts w:ascii="Times New Roman" w:hAnsi="Times New Roman" w:cs="Times New Roman"/>
          <w:sz w:val="24"/>
          <w:szCs w:val="24"/>
        </w:rPr>
        <w:t xml:space="preserve"> </w:t>
      </w:r>
      <w:r w:rsidR="00AF625F" w:rsidRPr="00403E6A">
        <w:rPr>
          <w:rFonts w:ascii="Times New Roman" w:hAnsi="Times New Roman" w:cs="Times New Roman"/>
          <w:sz w:val="24"/>
          <w:szCs w:val="24"/>
        </w:rPr>
        <w:t>Additionally, this paper will</w:t>
      </w:r>
      <w:r w:rsidR="00C80255" w:rsidRPr="00403E6A">
        <w:rPr>
          <w:rFonts w:ascii="Times New Roman" w:hAnsi="Times New Roman" w:cs="Times New Roman"/>
          <w:sz w:val="24"/>
          <w:szCs w:val="24"/>
        </w:rPr>
        <w:t xml:space="preserve"> also</w:t>
      </w:r>
      <w:r w:rsidR="00AF625F" w:rsidRPr="00403E6A">
        <w:rPr>
          <w:rFonts w:ascii="Times New Roman" w:hAnsi="Times New Roman" w:cs="Times New Roman"/>
          <w:sz w:val="24"/>
          <w:szCs w:val="24"/>
        </w:rPr>
        <w:t xml:space="preserve"> address counter arguments </w:t>
      </w:r>
      <w:r w:rsidR="004445FC" w:rsidRPr="00403E6A">
        <w:rPr>
          <w:rFonts w:ascii="Times New Roman" w:hAnsi="Times New Roman" w:cs="Times New Roman"/>
          <w:sz w:val="24"/>
          <w:szCs w:val="24"/>
        </w:rPr>
        <w:t xml:space="preserve">and proposals, </w:t>
      </w:r>
      <w:r w:rsidR="000357B2" w:rsidRPr="00403E6A">
        <w:rPr>
          <w:rFonts w:ascii="Times New Roman" w:hAnsi="Times New Roman" w:cs="Times New Roman"/>
          <w:sz w:val="24"/>
          <w:szCs w:val="24"/>
        </w:rPr>
        <w:t xml:space="preserve">and provide </w:t>
      </w:r>
      <w:r w:rsidR="00B067B0" w:rsidRPr="00403E6A">
        <w:rPr>
          <w:rFonts w:ascii="Times New Roman" w:hAnsi="Times New Roman" w:cs="Times New Roman"/>
          <w:sz w:val="24"/>
          <w:szCs w:val="24"/>
        </w:rPr>
        <w:t xml:space="preserve">an </w:t>
      </w:r>
      <w:r w:rsidR="00CB2A1A" w:rsidRPr="00403E6A">
        <w:rPr>
          <w:rFonts w:ascii="Times New Roman" w:hAnsi="Times New Roman" w:cs="Times New Roman"/>
          <w:sz w:val="24"/>
          <w:szCs w:val="24"/>
        </w:rPr>
        <w:t>argument</w:t>
      </w:r>
      <w:r w:rsidR="000357B2" w:rsidRPr="00403E6A">
        <w:rPr>
          <w:rFonts w:ascii="Times New Roman" w:hAnsi="Times New Roman" w:cs="Times New Roman"/>
          <w:sz w:val="24"/>
          <w:szCs w:val="24"/>
        </w:rPr>
        <w:t xml:space="preserve"> </w:t>
      </w:r>
      <w:r w:rsidR="009B1BE8" w:rsidRPr="00403E6A">
        <w:rPr>
          <w:rFonts w:ascii="Times New Roman" w:hAnsi="Times New Roman" w:cs="Times New Roman"/>
          <w:sz w:val="24"/>
          <w:szCs w:val="24"/>
        </w:rPr>
        <w:t xml:space="preserve">as to </w:t>
      </w:r>
      <w:r w:rsidR="000357B2" w:rsidRPr="00403E6A">
        <w:rPr>
          <w:rFonts w:ascii="Times New Roman" w:hAnsi="Times New Roman" w:cs="Times New Roman"/>
          <w:sz w:val="24"/>
          <w:szCs w:val="24"/>
        </w:rPr>
        <w:t>why monopsony</w:t>
      </w:r>
      <w:r w:rsidR="00170983" w:rsidRPr="00403E6A">
        <w:rPr>
          <w:rFonts w:ascii="Times New Roman" w:hAnsi="Times New Roman" w:cs="Times New Roman"/>
          <w:sz w:val="24"/>
          <w:szCs w:val="24"/>
        </w:rPr>
        <w:t xml:space="preserve"> such as Medicare-for-All</w:t>
      </w:r>
      <w:r w:rsidR="000357B2" w:rsidRPr="00403E6A">
        <w:rPr>
          <w:rFonts w:ascii="Times New Roman" w:hAnsi="Times New Roman" w:cs="Times New Roman"/>
          <w:sz w:val="24"/>
          <w:szCs w:val="24"/>
        </w:rPr>
        <w:t xml:space="preserve"> </w:t>
      </w:r>
      <w:r w:rsidR="009B1BE8" w:rsidRPr="00403E6A">
        <w:rPr>
          <w:rFonts w:ascii="Times New Roman" w:hAnsi="Times New Roman" w:cs="Times New Roman"/>
          <w:sz w:val="24"/>
          <w:szCs w:val="24"/>
        </w:rPr>
        <w:t xml:space="preserve">is </w:t>
      </w:r>
      <w:r w:rsidR="007E03FD" w:rsidRPr="00403E6A">
        <w:rPr>
          <w:rFonts w:ascii="Times New Roman" w:hAnsi="Times New Roman" w:cs="Times New Roman"/>
          <w:sz w:val="24"/>
          <w:szCs w:val="24"/>
        </w:rPr>
        <w:t xml:space="preserve">an </w:t>
      </w:r>
      <w:r w:rsidR="009B1BE8" w:rsidRPr="00403E6A">
        <w:rPr>
          <w:rFonts w:ascii="Times New Roman" w:hAnsi="Times New Roman" w:cs="Times New Roman"/>
          <w:sz w:val="24"/>
          <w:szCs w:val="24"/>
        </w:rPr>
        <w:t>un</w:t>
      </w:r>
      <w:r w:rsidR="007E03FD" w:rsidRPr="00403E6A">
        <w:rPr>
          <w:rFonts w:ascii="Times New Roman" w:hAnsi="Times New Roman" w:cs="Times New Roman"/>
          <w:sz w:val="24"/>
          <w:szCs w:val="24"/>
        </w:rPr>
        <w:t>desirable initiative</w:t>
      </w:r>
      <w:r w:rsidR="00170983" w:rsidRPr="00403E6A">
        <w:rPr>
          <w:rFonts w:ascii="Times New Roman" w:hAnsi="Times New Roman" w:cs="Times New Roman"/>
          <w:sz w:val="24"/>
          <w:szCs w:val="24"/>
        </w:rPr>
        <w:t xml:space="preserve"> for the U.S. to pursue</w:t>
      </w:r>
      <w:r w:rsidR="0016564D" w:rsidRPr="00403E6A">
        <w:rPr>
          <w:rFonts w:ascii="Times New Roman" w:hAnsi="Times New Roman" w:cs="Times New Roman"/>
          <w:sz w:val="24"/>
          <w:szCs w:val="24"/>
        </w:rPr>
        <w:t xml:space="preserve">. </w:t>
      </w:r>
    </w:p>
    <w:p w14:paraId="49A2FE34" w14:textId="0B91F9BC" w:rsidR="0016564D" w:rsidRPr="00403E6A" w:rsidRDefault="0016564D" w:rsidP="00410D7E">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t>Part I will</w:t>
      </w:r>
      <w:r w:rsidR="00EE0250" w:rsidRPr="00403E6A">
        <w:rPr>
          <w:rFonts w:ascii="Times New Roman" w:hAnsi="Times New Roman" w:cs="Times New Roman"/>
          <w:sz w:val="24"/>
          <w:szCs w:val="24"/>
        </w:rPr>
        <w:t xml:space="preserve"> further</w:t>
      </w:r>
      <w:r w:rsidRPr="00403E6A">
        <w:rPr>
          <w:rFonts w:ascii="Times New Roman" w:hAnsi="Times New Roman" w:cs="Times New Roman"/>
          <w:sz w:val="24"/>
          <w:szCs w:val="24"/>
        </w:rPr>
        <w:t xml:space="preserve"> review </w:t>
      </w:r>
      <w:r w:rsidR="00F01DB7" w:rsidRPr="00403E6A">
        <w:rPr>
          <w:rFonts w:ascii="Times New Roman" w:hAnsi="Times New Roman" w:cs="Times New Roman"/>
          <w:sz w:val="24"/>
          <w:szCs w:val="24"/>
        </w:rPr>
        <w:t>policy trends of the past few decades that brought us to this conundrum of market consolidation</w:t>
      </w:r>
      <w:r w:rsidR="00B42E6E" w:rsidRPr="00403E6A">
        <w:rPr>
          <w:rFonts w:ascii="Times New Roman" w:hAnsi="Times New Roman" w:cs="Times New Roman"/>
          <w:sz w:val="24"/>
          <w:szCs w:val="24"/>
        </w:rPr>
        <w:t xml:space="preserve"> and high prices</w:t>
      </w:r>
      <w:r w:rsidR="00F01DB7" w:rsidRPr="00403E6A">
        <w:rPr>
          <w:rFonts w:ascii="Times New Roman" w:hAnsi="Times New Roman" w:cs="Times New Roman"/>
          <w:sz w:val="24"/>
          <w:szCs w:val="24"/>
        </w:rPr>
        <w:t xml:space="preserve">. </w:t>
      </w:r>
      <w:r w:rsidR="001B3FF9" w:rsidRPr="00403E6A">
        <w:rPr>
          <w:rFonts w:ascii="Times New Roman" w:hAnsi="Times New Roman" w:cs="Times New Roman"/>
          <w:sz w:val="24"/>
          <w:szCs w:val="24"/>
        </w:rPr>
        <w:t xml:space="preserve">Part II will </w:t>
      </w:r>
      <w:r w:rsidR="00242C03" w:rsidRPr="00403E6A">
        <w:rPr>
          <w:rFonts w:ascii="Times New Roman" w:hAnsi="Times New Roman" w:cs="Times New Roman"/>
          <w:sz w:val="24"/>
          <w:szCs w:val="24"/>
        </w:rPr>
        <w:t xml:space="preserve">depict and analyze </w:t>
      </w:r>
      <w:r w:rsidR="00DF4003" w:rsidRPr="00403E6A">
        <w:rPr>
          <w:rFonts w:ascii="Times New Roman" w:hAnsi="Times New Roman" w:cs="Times New Roman"/>
          <w:sz w:val="24"/>
          <w:szCs w:val="24"/>
        </w:rPr>
        <w:t>Senator Bernie Sanders Medicare for All proposal.</w:t>
      </w:r>
      <w:r w:rsidR="001D75EB" w:rsidRPr="00403E6A">
        <w:rPr>
          <w:rFonts w:ascii="Times New Roman" w:hAnsi="Times New Roman" w:cs="Times New Roman"/>
          <w:sz w:val="24"/>
          <w:szCs w:val="24"/>
        </w:rPr>
        <w:t xml:space="preserve"> It will also review President Biden’s proposed reforms to the healthcare system. Part III</w:t>
      </w:r>
      <w:r w:rsidR="00471F0E" w:rsidRPr="00403E6A">
        <w:rPr>
          <w:rFonts w:ascii="Times New Roman" w:hAnsi="Times New Roman" w:cs="Times New Roman"/>
          <w:sz w:val="24"/>
          <w:szCs w:val="24"/>
        </w:rPr>
        <w:t xml:space="preserve"> will summarize and detail Avik Roy and</w:t>
      </w:r>
      <w:r w:rsidR="00DF4003" w:rsidRPr="00403E6A">
        <w:rPr>
          <w:rFonts w:ascii="Times New Roman" w:hAnsi="Times New Roman" w:cs="Times New Roman"/>
          <w:sz w:val="24"/>
          <w:szCs w:val="24"/>
        </w:rPr>
        <w:t xml:space="preserve"> </w:t>
      </w:r>
      <w:r w:rsidR="00242C03" w:rsidRPr="00403E6A">
        <w:rPr>
          <w:rFonts w:ascii="Times New Roman" w:hAnsi="Times New Roman" w:cs="Times New Roman"/>
          <w:sz w:val="24"/>
          <w:szCs w:val="24"/>
        </w:rPr>
        <w:t>D</w:t>
      </w:r>
      <w:r w:rsidR="00D873E6" w:rsidRPr="00403E6A">
        <w:rPr>
          <w:rFonts w:ascii="Times New Roman" w:hAnsi="Times New Roman" w:cs="Times New Roman"/>
          <w:sz w:val="24"/>
          <w:szCs w:val="24"/>
        </w:rPr>
        <w:t>r.</w:t>
      </w:r>
      <w:r w:rsidR="00242C03" w:rsidRPr="00403E6A">
        <w:rPr>
          <w:rFonts w:ascii="Times New Roman" w:hAnsi="Times New Roman" w:cs="Times New Roman"/>
          <w:sz w:val="24"/>
          <w:szCs w:val="24"/>
        </w:rPr>
        <w:t xml:space="preserve"> Ryan Neuhofel’s </w:t>
      </w:r>
      <w:r w:rsidR="007F6645" w:rsidRPr="00403E6A">
        <w:rPr>
          <w:rFonts w:ascii="Times New Roman" w:hAnsi="Times New Roman" w:cs="Times New Roman"/>
          <w:sz w:val="24"/>
          <w:szCs w:val="24"/>
        </w:rPr>
        <w:t>patient-centered proposal</w:t>
      </w:r>
      <w:r w:rsidR="00471F0E" w:rsidRPr="00403E6A">
        <w:rPr>
          <w:rFonts w:ascii="Times New Roman" w:hAnsi="Times New Roman" w:cs="Times New Roman"/>
          <w:sz w:val="24"/>
          <w:szCs w:val="24"/>
        </w:rPr>
        <w:t>s</w:t>
      </w:r>
      <w:r w:rsidR="007F6645" w:rsidRPr="00403E6A">
        <w:rPr>
          <w:rFonts w:ascii="Times New Roman" w:hAnsi="Times New Roman" w:cs="Times New Roman"/>
          <w:sz w:val="24"/>
          <w:szCs w:val="24"/>
        </w:rPr>
        <w:t xml:space="preserve"> to fix health care.</w:t>
      </w:r>
      <w:r w:rsidR="004F459A" w:rsidRPr="00403E6A">
        <w:rPr>
          <w:rFonts w:ascii="Times New Roman" w:hAnsi="Times New Roman" w:cs="Times New Roman"/>
          <w:sz w:val="24"/>
          <w:szCs w:val="24"/>
        </w:rPr>
        <w:t xml:space="preserve"> </w:t>
      </w:r>
    </w:p>
    <w:p w14:paraId="42969ED9" w14:textId="1889D4B9" w:rsidR="00810A23" w:rsidRPr="00403E6A" w:rsidRDefault="00AB3162" w:rsidP="00810A23">
      <w:pPr>
        <w:pStyle w:val="ListParagraph"/>
        <w:numPr>
          <w:ilvl w:val="0"/>
          <w:numId w:val="1"/>
        </w:numPr>
        <w:spacing w:after="0" w:line="480" w:lineRule="auto"/>
        <w:rPr>
          <w:rFonts w:ascii="Times New Roman" w:hAnsi="Times New Roman" w:cs="Times New Roman"/>
          <w:b/>
          <w:bCs/>
          <w:sz w:val="24"/>
          <w:szCs w:val="24"/>
        </w:rPr>
      </w:pPr>
      <w:r w:rsidRPr="00403E6A">
        <w:rPr>
          <w:rFonts w:ascii="Times New Roman" w:hAnsi="Times New Roman" w:cs="Times New Roman"/>
          <w:b/>
          <w:bCs/>
          <w:sz w:val="24"/>
          <w:szCs w:val="24"/>
        </w:rPr>
        <w:t xml:space="preserve">Understanding </w:t>
      </w:r>
      <w:r w:rsidR="00B83CAF" w:rsidRPr="00403E6A">
        <w:rPr>
          <w:rFonts w:ascii="Times New Roman" w:hAnsi="Times New Roman" w:cs="Times New Roman"/>
          <w:b/>
          <w:bCs/>
          <w:sz w:val="24"/>
          <w:szCs w:val="24"/>
        </w:rPr>
        <w:t>High Prices</w:t>
      </w:r>
      <w:r w:rsidR="007A1790" w:rsidRPr="00403E6A">
        <w:rPr>
          <w:rFonts w:ascii="Times New Roman" w:hAnsi="Times New Roman" w:cs="Times New Roman"/>
          <w:b/>
          <w:bCs/>
          <w:sz w:val="24"/>
          <w:szCs w:val="24"/>
        </w:rPr>
        <w:t xml:space="preserve"> </w:t>
      </w:r>
      <w:r w:rsidR="009F338C" w:rsidRPr="00403E6A">
        <w:rPr>
          <w:rFonts w:ascii="Times New Roman" w:hAnsi="Times New Roman" w:cs="Times New Roman"/>
          <w:b/>
          <w:bCs/>
          <w:sz w:val="24"/>
          <w:szCs w:val="24"/>
        </w:rPr>
        <w:t xml:space="preserve">in Health Care and Their Prevailing Causes </w:t>
      </w:r>
    </w:p>
    <w:p w14:paraId="6C0AD69E" w14:textId="73DD45FB" w:rsidR="00810A23" w:rsidRPr="00403E6A" w:rsidRDefault="00810A23" w:rsidP="00810A23">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r>
      <w:r w:rsidR="00264E89" w:rsidRPr="00403E6A">
        <w:rPr>
          <w:rFonts w:ascii="Times New Roman" w:hAnsi="Times New Roman" w:cs="Times New Roman"/>
          <w:sz w:val="24"/>
          <w:szCs w:val="24"/>
        </w:rPr>
        <w:t>As detailed above, price</w:t>
      </w:r>
      <w:r w:rsidR="00E27A37" w:rsidRPr="00403E6A">
        <w:rPr>
          <w:rFonts w:ascii="Times New Roman" w:hAnsi="Times New Roman" w:cs="Times New Roman"/>
          <w:sz w:val="24"/>
          <w:szCs w:val="24"/>
        </w:rPr>
        <w:t>s of services provided</w:t>
      </w:r>
      <w:r w:rsidR="00264E89" w:rsidRPr="00403E6A">
        <w:rPr>
          <w:rFonts w:ascii="Times New Roman" w:hAnsi="Times New Roman" w:cs="Times New Roman"/>
          <w:sz w:val="24"/>
          <w:szCs w:val="24"/>
        </w:rPr>
        <w:t xml:space="preserve"> </w:t>
      </w:r>
      <w:r w:rsidR="00ED7205" w:rsidRPr="00403E6A">
        <w:rPr>
          <w:rFonts w:ascii="Times New Roman" w:hAnsi="Times New Roman" w:cs="Times New Roman"/>
          <w:sz w:val="24"/>
          <w:szCs w:val="24"/>
        </w:rPr>
        <w:t xml:space="preserve">has been </w:t>
      </w:r>
      <w:r w:rsidR="00696781" w:rsidRPr="00403E6A">
        <w:rPr>
          <w:rFonts w:ascii="Times New Roman" w:hAnsi="Times New Roman" w:cs="Times New Roman"/>
          <w:sz w:val="24"/>
          <w:szCs w:val="24"/>
        </w:rPr>
        <w:t xml:space="preserve">the main driver of health care costs in America. </w:t>
      </w:r>
      <w:r w:rsidR="00DE7299" w:rsidRPr="00403E6A">
        <w:rPr>
          <w:rFonts w:ascii="Times New Roman" w:hAnsi="Times New Roman" w:cs="Times New Roman"/>
          <w:sz w:val="24"/>
          <w:szCs w:val="24"/>
        </w:rPr>
        <w:t xml:space="preserve">This was detailed in </w:t>
      </w:r>
      <w:r w:rsidR="00FB0DBD" w:rsidRPr="00403E6A">
        <w:rPr>
          <w:rFonts w:ascii="Times New Roman" w:hAnsi="Times New Roman" w:cs="Times New Roman"/>
          <w:sz w:val="24"/>
          <w:szCs w:val="24"/>
        </w:rPr>
        <w:t xml:space="preserve">a report that the Organization for Economic Co-operation and Development </w:t>
      </w:r>
      <w:r w:rsidR="00A93EBF" w:rsidRPr="00403E6A">
        <w:rPr>
          <w:rFonts w:ascii="Times New Roman" w:hAnsi="Times New Roman" w:cs="Times New Roman"/>
          <w:sz w:val="24"/>
          <w:szCs w:val="24"/>
        </w:rPr>
        <w:t xml:space="preserve">(OECD) </w:t>
      </w:r>
      <w:r w:rsidR="00FB0DBD" w:rsidRPr="00403E6A">
        <w:rPr>
          <w:rFonts w:ascii="Times New Roman" w:hAnsi="Times New Roman" w:cs="Times New Roman"/>
          <w:sz w:val="24"/>
          <w:szCs w:val="24"/>
        </w:rPr>
        <w:t>conducted in 2014.</w:t>
      </w:r>
      <w:r w:rsidR="009E1D0B" w:rsidRPr="00403E6A">
        <w:rPr>
          <w:rFonts w:ascii="Times New Roman" w:hAnsi="Times New Roman" w:cs="Times New Roman"/>
          <w:sz w:val="24"/>
          <w:szCs w:val="24"/>
        </w:rPr>
        <w:t xml:space="preserve"> </w:t>
      </w:r>
      <w:r w:rsidR="00A93EBF" w:rsidRPr="00403E6A">
        <w:rPr>
          <w:rFonts w:ascii="Times New Roman" w:hAnsi="Times New Roman" w:cs="Times New Roman"/>
          <w:sz w:val="24"/>
          <w:szCs w:val="24"/>
        </w:rPr>
        <w:t>A</w:t>
      </w:r>
      <w:r w:rsidR="007E28AB" w:rsidRPr="00403E6A">
        <w:rPr>
          <w:rFonts w:ascii="Times New Roman" w:hAnsi="Times New Roman" w:cs="Times New Roman"/>
          <w:sz w:val="24"/>
          <w:szCs w:val="24"/>
        </w:rPr>
        <w:t xml:space="preserve">ccording to the </w:t>
      </w:r>
      <w:r w:rsidR="000E21B5" w:rsidRPr="00403E6A">
        <w:rPr>
          <w:rFonts w:ascii="Times New Roman" w:hAnsi="Times New Roman" w:cs="Times New Roman"/>
          <w:sz w:val="24"/>
          <w:szCs w:val="24"/>
        </w:rPr>
        <w:t>OECD</w:t>
      </w:r>
      <w:r w:rsidR="00A93EBF" w:rsidRPr="00403E6A">
        <w:rPr>
          <w:rFonts w:ascii="Times New Roman" w:hAnsi="Times New Roman" w:cs="Times New Roman"/>
          <w:sz w:val="24"/>
          <w:szCs w:val="24"/>
        </w:rPr>
        <w:t>’s report</w:t>
      </w:r>
      <w:r w:rsidR="000E21B5" w:rsidRPr="00403E6A">
        <w:rPr>
          <w:rFonts w:ascii="Times New Roman" w:hAnsi="Times New Roman" w:cs="Times New Roman"/>
          <w:sz w:val="24"/>
          <w:szCs w:val="24"/>
        </w:rPr>
        <w:t xml:space="preserve">, </w:t>
      </w:r>
      <w:r w:rsidR="003E4D76" w:rsidRPr="00403E6A">
        <w:rPr>
          <w:rFonts w:ascii="Times New Roman" w:hAnsi="Times New Roman" w:cs="Times New Roman"/>
          <w:sz w:val="24"/>
          <w:szCs w:val="24"/>
        </w:rPr>
        <w:t>a</w:t>
      </w:r>
      <w:r w:rsidRPr="00403E6A">
        <w:rPr>
          <w:rFonts w:ascii="Times New Roman" w:hAnsi="Times New Roman" w:cs="Times New Roman"/>
          <w:sz w:val="24"/>
          <w:szCs w:val="24"/>
        </w:rPr>
        <w:t xml:space="preserve">mong </w:t>
      </w:r>
      <w:r w:rsidR="002A1DBF" w:rsidRPr="00403E6A">
        <w:rPr>
          <w:rFonts w:ascii="Times New Roman" w:hAnsi="Times New Roman" w:cs="Times New Roman"/>
          <w:sz w:val="24"/>
          <w:szCs w:val="24"/>
        </w:rPr>
        <w:t xml:space="preserve">its developed </w:t>
      </w:r>
      <w:r w:rsidRPr="00403E6A">
        <w:rPr>
          <w:rFonts w:ascii="Times New Roman" w:hAnsi="Times New Roman" w:cs="Times New Roman"/>
          <w:sz w:val="24"/>
          <w:szCs w:val="24"/>
        </w:rPr>
        <w:t xml:space="preserve">member countries, the median hospital stay cost $10,530 and lasted </w:t>
      </w:r>
      <w:r w:rsidR="002A1DBF" w:rsidRPr="00403E6A">
        <w:rPr>
          <w:rFonts w:ascii="Times New Roman" w:hAnsi="Times New Roman" w:cs="Times New Roman"/>
          <w:sz w:val="24"/>
          <w:szCs w:val="24"/>
        </w:rPr>
        <w:t xml:space="preserve">almost </w:t>
      </w:r>
      <w:r w:rsidR="00A93EBF" w:rsidRPr="00403E6A">
        <w:rPr>
          <w:rFonts w:ascii="Times New Roman" w:hAnsi="Times New Roman" w:cs="Times New Roman"/>
          <w:sz w:val="24"/>
          <w:szCs w:val="24"/>
        </w:rPr>
        <w:t>eight</w:t>
      </w:r>
      <w:r w:rsidRPr="00403E6A">
        <w:rPr>
          <w:rFonts w:ascii="Times New Roman" w:hAnsi="Times New Roman" w:cs="Times New Roman"/>
          <w:sz w:val="24"/>
          <w:szCs w:val="24"/>
        </w:rPr>
        <w:t xml:space="preserve"> days in 2014.</w:t>
      </w:r>
      <w:r w:rsidR="004F340C" w:rsidRPr="00403E6A">
        <w:rPr>
          <w:rStyle w:val="FootnoteReference"/>
          <w:rFonts w:ascii="Times New Roman" w:hAnsi="Times New Roman" w:cs="Times New Roman"/>
          <w:sz w:val="24"/>
          <w:szCs w:val="24"/>
        </w:rPr>
        <w:footnoteReference w:id="25"/>
      </w:r>
      <w:r w:rsidR="001257F9" w:rsidRPr="00403E6A">
        <w:rPr>
          <w:rFonts w:ascii="Times New Roman" w:hAnsi="Times New Roman" w:cs="Times New Roman"/>
          <w:sz w:val="24"/>
          <w:szCs w:val="24"/>
        </w:rPr>
        <w:t xml:space="preserve"> </w:t>
      </w:r>
      <w:r w:rsidRPr="00403E6A">
        <w:rPr>
          <w:rFonts w:ascii="Times New Roman" w:hAnsi="Times New Roman" w:cs="Times New Roman"/>
          <w:sz w:val="24"/>
          <w:szCs w:val="24"/>
        </w:rPr>
        <w:t xml:space="preserve">In the United States, the average hospital stay cost $21,063, despite lasting only </w:t>
      </w:r>
      <w:r w:rsidR="00DC0791" w:rsidRPr="00403E6A">
        <w:rPr>
          <w:rFonts w:ascii="Times New Roman" w:hAnsi="Times New Roman" w:cs="Times New Roman"/>
          <w:sz w:val="24"/>
          <w:szCs w:val="24"/>
        </w:rPr>
        <w:t>six</w:t>
      </w:r>
      <w:r w:rsidRPr="00403E6A">
        <w:rPr>
          <w:rFonts w:ascii="Times New Roman" w:hAnsi="Times New Roman" w:cs="Times New Roman"/>
          <w:sz w:val="24"/>
          <w:szCs w:val="24"/>
        </w:rPr>
        <w:t xml:space="preserve"> </w:t>
      </w:r>
      <w:r w:rsidRPr="00403E6A">
        <w:rPr>
          <w:rFonts w:ascii="Times New Roman" w:hAnsi="Times New Roman" w:cs="Times New Roman"/>
          <w:sz w:val="24"/>
          <w:szCs w:val="24"/>
        </w:rPr>
        <w:lastRenderedPageBreak/>
        <w:t>days.</w:t>
      </w:r>
      <w:r w:rsidR="004F340C" w:rsidRPr="00403E6A">
        <w:rPr>
          <w:rStyle w:val="FootnoteReference"/>
          <w:rFonts w:ascii="Times New Roman" w:hAnsi="Times New Roman" w:cs="Times New Roman"/>
          <w:sz w:val="24"/>
          <w:szCs w:val="24"/>
        </w:rPr>
        <w:footnoteReference w:id="26"/>
      </w:r>
      <w:r w:rsidRPr="00403E6A">
        <w:rPr>
          <w:rFonts w:ascii="Times New Roman" w:hAnsi="Times New Roman" w:cs="Times New Roman"/>
          <w:sz w:val="24"/>
          <w:szCs w:val="24"/>
        </w:rPr>
        <w:t xml:space="preserve"> </w:t>
      </w:r>
      <w:r w:rsidR="00EE6510" w:rsidRPr="00403E6A">
        <w:rPr>
          <w:rFonts w:ascii="Times New Roman" w:hAnsi="Times New Roman" w:cs="Times New Roman"/>
          <w:sz w:val="24"/>
          <w:szCs w:val="24"/>
        </w:rPr>
        <w:t>Therefore</w:t>
      </w:r>
      <w:r w:rsidRPr="00403E6A">
        <w:rPr>
          <w:rFonts w:ascii="Times New Roman" w:hAnsi="Times New Roman" w:cs="Times New Roman"/>
          <w:sz w:val="24"/>
          <w:szCs w:val="24"/>
        </w:rPr>
        <w:t>, the average daily cost of a hospital stay in the U.S. was</w:t>
      </w:r>
      <w:r w:rsidR="00B83D42" w:rsidRPr="00403E6A">
        <w:rPr>
          <w:rFonts w:ascii="Times New Roman" w:hAnsi="Times New Roman" w:cs="Times New Roman"/>
          <w:sz w:val="24"/>
          <w:szCs w:val="24"/>
        </w:rPr>
        <w:t xml:space="preserve"> more than</w:t>
      </w:r>
      <w:r w:rsidRPr="00403E6A">
        <w:rPr>
          <w:rFonts w:ascii="Times New Roman" w:hAnsi="Times New Roman" w:cs="Times New Roman"/>
          <w:sz w:val="24"/>
          <w:szCs w:val="24"/>
        </w:rPr>
        <w:t xml:space="preserve"> 2.</w:t>
      </w:r>
      <w:r w:rsidR="00B83D42" w:rsidRPr="00403E6A">
        <w:rPr>
          <w:rFonts w:ascii="Times New Roman" w:hAnsi="Times New Roman" w:cs="Times New Roman"/>
          <w:sz w:val="24"/>
          <w:szCs w:val="24"/>
        </w:rPr>
        <w:t>5</w:t>
      </w:r>
      <w:r w:rsidRPr="00403E6A">
        <w:rPr>
          <w:rFonts w:ascii="Times New Roman" w:hAnsi="Times New Roman" w:cs="Times New Roman"/>
          <w:sz w:val="24"/>
          <w:szCs w:val="24"/>
        </w:rPr>
        <w:t xml:space="preserve"> times that of the OECD average of </w:t>
      </w:r>
      <w:r w:rsidR="00B83D42" w:rsidRPr="00403E6A">
        <w:rPr>
          <w:rFonts w:ascii="Times New Roman" w:hAnsi="Times New Roman" w:cs="Times New Roman"/>
          <w:sz w:val="24"/>
          <w:szCs w:val="24"/>
        </w:rPr>
        <w:t>developed</w:t>
      </w:r>
      <w:r w:rsidRPr="00403E6A">
        <w:rPr>
          <w:rFonts w:ascii="Times New Roman" w:hAnsi="Times New Roman" w:cs="Times New Roman"/>
          <w:sz w:val="24"/>
          <w:szCs w:val="24"/>
        </w:rPr>
        <w:t xml:space="preserve"> nations.</w:t>
      </w:r>
      <w:r w:rsidR="0038229E" w:rsidRPr="00403E6A">
        <w:rPr>
          <w:rStyle w:val="FootnoteReference"/>
          <w:rFonts w:ascii="Times New Roman" w:hAnsi="Times New Roman" w:cs="Times New Roman"/>
          <w:sz w:val="24"/>
          <w:szCs w:val="24"/>
        </w:rPr>
        <w:footnoteReference w:id="27"/>
      </w:r>
      <w:r w:rsidR="00707F1C" w:rsidRPr="00403E6A">
        <w:rPr>
          <w:rFonts w:ascii="Times New Roman" w:hAnsi="Times New Roman" w:cs="Times New Roman"/>
          <w:sz w:val="24"/>
          <w:szCs w:val="24"/>
        </w:rPr>
        <w:t xml:space="preserve"> </w:t>
      </w:r>
    </w:p>
    <w:p w14:paraId="7AAE7CBE" w14:textId="01C2C752" w:rsidR="0016429E" w:rsidRPr="00403E6A" w:rsidRDefault="003E4ACA" w:rsidP="00810A23">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r>
      <w:r w:rsidR="006A7035" w:rsidRPr="00403E6A">
        <w:rPr>
          <w:rFonts w:ascii="Times New Roman" w:hAnsi="Times New Roman" w:cs="Times New Roman"/>
          <w:sz w:val="24"/>
          <w:szCs w:val="24"/>
        </w:rPr>
        <w:t xml:space="preserve">Furthermore, </w:t>
      </w:r>
      <w:r w:rsidR="006F16EA" w:rsidRPr="00403E6A">
        <w:rPr>
          <w:rFonts w:ascii="Times New Roman" w:hAnsi="Times New Roman" w:cs="Times New Roman"/>
          <w:sz w:val="24"/>
          <w:szCs w:val="24"/>
        </w:rPr>
        <w:t xml:space="preserve">the differences in prices vary </w:t>
      </w:r>
      <w:r w:rsidR="00EC3E84" w:rsidRPr="00403E6A">
        <w:rPr>
          <w:rFonts w:ascii="Times New Roman" w:hAnsi="Times New Roman" w:cs="Times New Roman"/>
          <w:sz w:val="24"/>
          <w:szCs w:val="24"/>
        </w:rPr>
        <w:t xml:space="preserve">depending on </w:t>
      </w:r>
      <w:r w:rsidR="00876D62" w:rsidRPr="00403E6A">
        <w:rPr>
          <w:rFonts w:ascii="Times New Roman" w:hAnsi="Times New Roman" w:cs="Times New Roman"/>
          <w:sz w:val="24"/>
          <w:szCs w:val="24"/>
        </w:rPr>
        <w:t>whether the payer is a public or private insurance plan.</w:t>
      </w:r>
      <w:r w:rsidR="007D79F9" w:rsidRPr="00403E6A">
        <w:rPr>
          <w:rFonts w:ascii="Times New Roman" w:hAnsi="Times New Roman" w:cs="Times New Roman"/>
          <w:sz w:val="24"/>
          <w:szCs w:val="24"/>
        </w:rPr>
        <w:t xml:space="preserve"> A</w:t>
      </w:r>
      <w:r w:rsidR="00FC2448" w:rsidRPr="00403E6A">
        <w:rPr>
          <w:rFonts w:ascii="Times New Roman" w:hAnsi="Times New Roman" w:cs="Times New Roman"/>
          <w:sz w:val="24"/>
          <w:szCs w:val="24"/>
        </w:rPr>
        <w:t>ccording to</w:t>
      </w:r>
      <w:r w:rsidR="007D79F9" w:rsidRPr="00403E6A">
        <w:rPr>
          <w:rFonts w:ascii="Times New Roman" w:hAnsi="Times New Roman" w:cs="Times New Roman"/>
          <w:sz w:val="24"/>
          <w:szCs w:val="24"/>
        </w:rPr>
        <w:t xml:space="preserve"> </w:t>
      </w:r>
      <w:r w:rsidR="000D7590" w:rsidRPr="00403E6A">
        <w:rPr>
          <w:rFonts w:ascii="Times New Roman" w:hAnsi="Times New Roman" w:cs="Times New Roman"/>
          <w:sz w:val="24"/>
          <w:szCs w:val="24"/>
        </w:rPr>
        <w:t xml:space="preserve">a </w:t>
      </w:r>
      <w:r w:rsidR="007D79F9" w:rsidRPr="00403E6A">
        <w:rPr>
          <w:rFonts w:ascii="Times New Roman" w:hAnsi="Times New Roman" w:cs="Times New Roman"/>
          <w:sz w:val="24"/>
          <w:szCs w:val="24"/>
        </w:rPr>
        <w:t xml:space="preserve">2015 study </w:t>
      </w:r>
      <w:r w:rsidR="00FC2448" w:rsidRPr="00403E6A">
        <w:rPr>
          <w:rFonts w:ascii="Times New Roman" w:hAnsi="Times New Roman" w:cs="Times New Roman"/>
          <w:sz w:val="24"/>
          <w:szCs w:val="24"/>
        </w:rPr>
        <w:t xml:space="preserve">that </w:t>
      </w:r>
      <w:r w:rsidR="007D79F9" w:rsidRPr="00403E6A">
        <w:rPr>
          <w:rFonts w:ascii="Times New Roman" w:hAnsi="Times New Roman" w:cs="Times New Roman"/>
          <w:sz w:val="24"/>
          <w:szCs w:val="24"/>
        </w:rPr>
        <w:t xml:space="preserve">researchers at </w:t>
      </w:r>
      <w:r w:rsidR="00FC2448" w:rsidRPr="00403E6A">
        <w:rPr>
          <w:rFonts w:ascii="Times New Roman" w:hAnsi="Times New Roman" w:cs="Times New Roman"/>
          <w:sz w:val="24"/>
          <w:szCs w:val="24"/>
        </w:rPr>
        <w:t xml:space="preserve">the U.S. Agency for Healthcare Research and Quality conducted, </w:t>
      </w:r>
      <w:r w:rsidR="007D79F9" w:rsidRPr="00403E6A">
        <w:rPr>
          <w:rFonts w:ascii="Times New Roman" w:hAnsi="Times New Roman" w:cs="Times New Roman"/>
          <w:sz w:val="24"/>
          <w:szCs w:val="24"/>
        </w:rPr>
        <w:t>hospitals were charging private insurers 106</w:t>
      </w:r>
      <w:r w:rsidR="00344D10" w:rsidRPr="00403E6A">
        <w:rPr>
          <w:rFonts w:ascii="Times New Roman" w:hAnsi="Times New Roman" w:cs="Times New Roman"/>
          <w:sz w:val="24"/>
          <w:szCs w:val="24"/>
        </w:rPr>
        <w:t xml:space="preserve"> </w:t>
      </w:r>
      <w:r w:rsidR="007D79F9" w:rsidRPr="00403E6A">
        <w:rPr>
          <w:rFonts w:ascii="Times New Roman" w:hAnsi="Times New Roman" w:cs="Times New Roman"/>
          <w:sz w:val="24"/>
          <w:szCs w:val="24"/>
        </w:rPr>
        <w:t>percent of Medicare rates in 1996, but 175 percent of Medicare rates in 2012.</w:t>
      </w:r>
      <w:r w:rsidR="00CF4AFB" w:rsidRPr="00403E6A">
        <w:rPr>
          <w:rStyle w:val="FootnoteReference"/>
          <w:rFonts w:ascii="Times New Roman" w:hAnsi="Times New Roman" w:cs="Times New Roman"/>
          <w:sz w:val="24"/>
          <w:szCs w:val="24"/>
        </w:rPr>
        <w:footnoteReference w:id="28"/>
      </w:r>
      <w:r w:rsidR="00876D62" w:rsidRPr="00403E6A">
        <w:rPr>
          <w:rFonts w:ascii="Times New Roman" w:hAnsi="Times New Roman" w:cs="Times New Roman"/>
          <w:sz w:val="24"/>
          <w:szCs w:val="24"/>
        </w:rPr>
        <w:t xml:space="preserve"> </w:t>
      </w:r>
      <w:r w:rsidR="004C56CF" w:rsidRPr="00403E6A">
        <w:rPr>
          <w:rFonts w:ascii="Times New Roman" w:hAnsi="Times New Roman" w:cs="Times New Roman"/>
          <w:sz w:val="24"/>
          <w:szCs w:val="24"/>
        </w:rPr>
        <w:t xml:space="preserve">Moreover, according to </w:t>
      </w:r>
      <w:r w:rsidR="00AF0218" w:rsidRPr="00403E6A">
        <w:rPr>
          <w:rFonts w:ascii="Times New Roman" w:hAnsi="Times New Roman" w:cs="Times New Roman"/>
          <w:sz w:val="24"/>
          <w:szCs w:val="24"/>
        </w:rPr>
        <w:t xml:space="preserve">a 2019 </w:t>
      </w:r>
      <w:r w:rsidR="00733D9F" w:rsidRPr="00403E6A">
        <w:rPr>
          <w:rFonts w:ascii="Times New Roman" w:hAnsi="Times New Roman" w:cs="Times New Roman"/>
          <w:sz w:val="24"/>
          <w:szCs w:val="24"/>
        </w:rPr>
        <w:t xml:space="preserve">RAND Corporation study, </w:t>
      </w:r>
      <w:r w:rsidR="003B051B" w:rsidRPr="00403E6A">
        <w:rPr>
          <w:rFonts w:ascii="Times New Roman" w:hAnsi="Times New Roman" w:cs="Times New Roman"/>
          <w:sz w:val="24"/>
          <w:szCs w:val="24"/>
        </w:rPr>
        <w:t>test</w:t>
      </w:r>
      <w:r w:rsidR="004C56CF" w:rsidRPr="00403E6A">
        <w:rPr>
          <w:rFonts w:ascii="Times New Roman" w:hAnsi="Times New Roman" w:cs="Times New Roman"/>
          <w:sz w:val="24"/>
          <w:szCs w:val="24"/>
        </w:rPr>
        <w:t xml:space="preserve"> hospitals were 241 percent of Medicare prices in 2017.</w:t>
      </w:r>
      <w:r w:rsidR="00AA3EFC" w:rsidRPr="00403E6A">
        <w:rPr>
          <w:rStyle w:val="FootnoteReference"/>
          <w:rFonts w:ascii="Times New Roman" w:hAnsi="Times New Roman" w:cs="Times New Roman"/>
          <w:sz w:val="24"/>
          <w:szCs w:val="24"/>
        </w:rPr>
        <w:footnoteReference w:id="29"/>
      </w:r>
      <w:r w:rsidR="004C56CF" w:rsidRPr="00403E6A">
        <w:rPr>
          <w:rFonts w:ascii="Times New Roman" w:hAnsi="Times New Roman" w:cs="Times New Roman"/>
          <w:sz w:val="24"/>
          <w:szCs w:val="24"/>
        </w:rPr>
        <w:t xml:space="preserve"> </w:t>
      </w:r>
      <w:r w:rsidR="00DE1749" w:rsidRPr="00403E6A">
        <w:rPr>
          <w:rFonts w:ascii="Times New Roman" w:hAnsi="Times New Roman" w:cs="Times New Roman"/>
          <w:sz w:val="24"/>
          <w:szCs w:val="24"/>
        </w:rPr>
        <w:t xml:space="preserve">This evidence implies </w:t>
      </w:r>
      <w:r w:rsidR="00DF07DB" w:rsidRPr="00403E6A">
        <w:rPr>
          <w:rFonts w:ascii="Times New Roman" w:hAnsi="Times New Roman" w:cs="Times New Roman"/>
          <w:sz w:val="24"/>
          <w:szCs w:val="24"/>
        </w:rPr>
        <w:t xml:space="preserve">that </w:t>
      </w:r>
      <w:r w:rsidR="005868E8" w:rsidRPr="00403E6A">
        <w:rPr>
          <w:rFonts w:ascii="Times New Roman" w:hAnsi="Times New Roman" w:cs="Times New Roman"/>
          <w:sz w:val="24"/>
          <w:szCs w:val="24"/>
        </w:rPr>
        <w:t xml:space="preserve">there are irregularities in the commercial payer market that </w:t>
      </w:r>
      <w:r w:rsidR="00993567" w:rsidRPr="00403E6A">
        <w:rPr>
          <w:rFonts w:ascii="Times New Roman" w:hAnsi="Times New Roman" w:cs="Times New Roman"/>
          <w:sz w:val="24"/>
          <w:szCs w:val="24"/>
        </w:rPr>
        <w:t>are causing these high prices.</w:t>
      </w:r>
    </w:p>
    <w:p w14:paraId="786B318F" w14:textId="1ED152C8" w:rsidR="000E1FD7" w:rsidRPr="00403E6A" w:rsidRDefault="006278A8" w:rsidP="002B7F69">
      <w:pPr>
        <w:pStyle w:val="ListParagraph"/>
        <w:numPr>
          <w:ilvl w:val="0"/>
          <w:numId w:val="5"/>
        </w:numPr>
        <w:spacing w:after="0" w:line="480" w:lineRule="auto"/>
        <w:rPr>
          <w:rFonts w:ascii="Times New Roman" w:hAnsi="Times New Roman" w:cs="Times New Roman"/>
          <w:sz w:val="24"/>
          <w:szCs w:val="24"/>
          <w:u w:val="single"/>
        </w:rPr>
      </w:pPr>
      <w:r w:rsidRPr="00403E6A">
        <w:rPr>
          <w:rFonts w:ascii="Times New Roman" w:hAnsi="Times New Roman" w:cs="Times New Roman"/>
          <w:sz w:val="24"/>
          <w:szCs w:val="24"/>
          <w:u w:val="single"/>
        </w:rPr>
        <w:t xml:space="preserve">How Health Care Prices are Negotiated and </w:t>
      </w:r>
      <w:r w:rsidR="00D8257B" w:rsidRPr="00403E6A">
        <w:rPr>
          <w:rFonts w:ascii="Times New Roman" w:hAnsi="Times New Roman" w:cs="Times New Roman"/>
          <w:sz w:val="24"/>
          <w:szCs w:val="24"/>
          <w:u w:val="single"/>
        </w:rPr>
        <w:t>its</w:t>
      </w:r>
      <w:r w:rsidR="005D6B09" w:rsidRPr="00403E6A">
        <w:rPr>
          <w:rFonts w:ascii="Times New Roman" w:hAnsi="Times New Roman" w:cs="Times New Roman"/>
          <w:sz w:val="24"/>
          <w:szCs w:val="24"/>
          <w:u w:val="single"/>
        </w:rPr>
        <w:t xml:space="preserve"> </w:t>
      </w:r>
      <w:r w:rsidRPr="00403E6A">
        <w:rPr>
          <w:rFonts w:ascii="Times New Roman" w:hAnsi="Times New Roman" w:cs="Times New Roman"/>
          <w:sz w:val="24"/>
          <w:szCs w:val="24"/>
          <w:u w:val="single"/>
        </w:rPr>
        <w:t>Effect on Consumers</w:t>
      </w:r>
      <w:r w:rsidRPr="00403E6A">
        <w:rPr>
          <w:rFonts w:ascii="Times New Roman" w:hAnsi="Times New Roman" w:cs="Times New Roman"/>
          <w:sz w:val="24"/>
          <w:szCs w:val="24"/>
        </w:rPr>
        <w:t xml:space="preserve"> </w:t>
      </w:r>
      <w:r w:rsidR="000E1FD7" w:rsidRPr="00403E6A">
        <w:rPr>
          <w:rFonts w:ascii="Times New Roman" w:hAnsi="Times New Roman" w:cs="Times New Roman"/>
          <w:sz w:val="24"/>
          <w:szCs w:val="24"/>
        </w:rPr>
        <w:tab/>
      </w:r>
    </w:p>
    <w:p w14:paraId="70ABF77C" w14:textId="1A0979BD" w:rsidR="00CB6C28" w:rsidRPr="00403E6A" w:rsidRDefault="007F338F" w:rsidP="006945E7">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r>
      <w:r w:rsidR="00CB6C28" w:rsidRPr="00403E6A">
        <w:rPr>
          <w:rFonts w:ascii="Times New Roman" w:hAnsi="Times New Roman" w:cs="Times New Roman"/>
          <w:sz w:val="24"/>
          <w:szCs w:val="24"/>
        </w:rPr>
        <w:t>As stated above</w:t>
      </w:r>
      <w:r w:rsidR="00404E18" w:rsidRPr="00403E6A">
        <w:rPr>
          <w:rFonts w:ascii="Times New Roman" w:hAnsi="Times New Roman" w:cs="Times New Roman"/>
          <w:sz w:val="24"/>
          <w:szCs w:val="24"/>
        </w:rPr>
        <w:t xml:space="preserve">, the definition of </w:t>
      </w:r>
      <w:r w:rsidR="006C574F" w:rsidRPr="00403E6A">
        <w:rPr>
          <w:rFonts w:ascii="Times New Roman" w:hAnsi="Times New Roman" w:cs="Times New Roman"/>
          <w:sz w:val="24"/>
          <w:szCs w:val="24"/>
        </w:rPr>
        <w:t xml:space="preserve">health care </w:t>
      </w:r>
      <w:r w:rsidR="00404E18" w:rsidRPr="00403E6A">
        <w:rPr>
          <w:rFonts w:ascii="Times New Roman" w:hAnsi="Times New Roman" w:cs="Times New Roman"/>
          <w:sz w:val="24"/>
          <w:szCs w:val="24"/>
        </w:rPr>
        <w:t xml:space="preserve">“costs” often </w:t>
      </w:r>
      <w:r w:rsidR="001C2943" w:rsidRPr="00403E6A">
        <w:rPr>
          <w:rFonts w:ascii="Times New Roman" w:hAnsi="Times New Roman" w:cs="Times New Roman"/>
          <w:sz w:val="24"/>
          <w:szCs w:val="24"/>
        </w:rPr>
        <w:t>varies</w:t>
      </w:r>
      <w:r w:rsidR="00404E18" w:rsidRPr="00403E6A">
        <w:rPr>
          <w:rFonts w:ascii="Times New Roman" w:hAnsi="Times New Roman" w:cs="Times New Roman"/>
          <w:sz w:val="24"/>
          <w:szCs w:val="24"/>
        </w:rPr>
        <w:t xml:space="preserve"> </w:t>
      </w:r>
      <w:r w:rsidR="001226AF" w:rsidRPr="00403E6A">
        <w:rPr>
          <w:rFonts w:ascii="Times New Roman" w:hAnsi="Times New Roman" w:cs="Times New Roman"/>
          <w:sz w:val="24"/>
          <w:szCs w:val="24"/>
        </w:rPr>
        <w:t xml:space="preserve">depending on whether </w:t>
      </w:r>
      <w:r w:rsidR="00F07A7E" w:rsidRPr="00403E6A">
        <w:rPr>
          <w:rFonts w:ascii="Times New Roman" w:hAnsi="Times New Roman" w:cs="Times New Roman"/>
          <w:sz w:val="24"/>
          <w:szCs w:val="24"/>
        </w:rPr>
        <w:t>they are</w:t>
      </w:r>
      <w:r w:rsidR="001226AF" w:rsidRPr="00403E6A">
        <w:rPr>
          <w:rFonts w:ascii="Times New Roman" w:hAnsi="Times New Roman" w:cs="Times New Roman"/>
          <w:sz w:val="24"/>
          <w:szCs w:val="24"/>
        </w:rPr>
        <w:t xml:space="preserve"> in reference to the patient or the provider. </w:t>
      </w:r>
      <w:r w:rsidR="00F07A7E" w:rsidRPr="00403E6A">
        <w:rPr>
          <w:rFonts w:ascii="Times New Roman" w:hAnsi="Times New Roman" w:cs="Times New Roman"/>
          <w:sz w:val="24"/>
          <w:szCs w:val="24"/>
        </w:rPr>
        <w:t xml:space="preserve">Provider costs </w:t>
      </w:r>
      <w:r w:rsidR="00BC460E" w:rsidRPr="00403E6A">
        <w:rPr>
          <w:rFonts w:ascii="Times New Roman" w:hAnsi="Times New Roman" w:cs="Times New Roman"/>
          <w:sz w:val="24"/>
          <w:szCs w:val="24"/>
        </w:rPr>
        <w:t>are typically related to service and product operating expenses</w:t>
      </w:r>
      <w:r w:rsidR="00C73A2E" w:rsidRPr="00403E6A">
        <w:rPr>
          <w:rFonts w:ascii="Times New Roman" w:hAnsi="Times New Roman" w:cs="Times New Roman"/>
          <w:sz w:val="24"/>
          <w:szCs w:val="24"/>
        </w:rPr>
        <w:t xml:space="preserve">, </w:t>
      </w:r>
      <w:r w:rsidR="007A4D0A" w:rsidRPr="00403E6A">
        <w:rPr>
          <w:rFonts w:ascii="Times New Roman" w:hAnsi="Times New Roman" w:cs="Times New Roman"/>
          <w:sz w:val="24"/>
          <w:szCs w:val="24"/>
        </w:rPr>
        <w:t xml:space="preserve">general </w:t>
      </w:r>
      <w:r w:rsidR="00C73A2E" w:rsidRPr="00403E6A">
        <w:rPr>
          <w:rFonts w:ascii="Times New Roman" w:hAnsi="Times New Roman" w:cs="Times New Roman"/>
          <w:sz w:val="24"/>
          <w:szCs w:val="24"/>
        </w:rPr>
        <w:t xml:space="preserve">overhead, </w:t>
      </w:r>
      <w:r w:rsidR="007A4D0A" w:rsidRPr="00403E6A">
        <w:rPr>
          <w:rFonts w:ascii="Times New Roman" w:hAnsi="Times New Roman" w:cs="Times New Roman"/>
          <w:sz w:val="24"/>
          <w:szCs w:val="24"/>
        </w:rPr>
        <w:t>and labor</w:t>
      </w:r>
      <w:r w:rsidR="00BC460E" w:rsidRPr="00403E6A">
        <w:rPr>
          <w:rFonts w:ascii="Times New Roman" w:hAnsi="Times New Roman" w:cs="Times New Roman"/>
          <w:sz w:val="24"/>
          <w:szCs w:val="24"/>
        </w:rPr>
        <w:t>.</w:t>
      </w:r>
      <w:r w:rsidR="00C109F6" w:rsidRPr="00403E6A">
        <w:rPr>
          <w:rStyle w:val="FootnoteReference"/>
          <w:rFonts w:ascii="Times New Roman" w:hAnsi="Times New Roman" w:cs="Times New Roman"/>
          <w:sz w:val="24"/>
          <w:szCs w:val="24"/>
        </w:rPr>
        <w:footnoteReference w:id="30"/>
      </w:r>
      <w:r w:rsidR="00F90179" w:rsidRPr="00403E6A">
        <w:rPr>
          <w:rFonts w:ascii="Times New Roman" w:hAnsi="Times New Roman" w:cs="Times New Roman"/>
          <w:sz w:val="24"/>
          <w:szCs w:val="24"/>
        </w:rPr>
        <w:t xml:space="preserve"> </w:t>
      </w:r>
      <w:r w:rsidR="00567ED2" w:rsidRPr="00403E6A">
        <w:rPr>
          <w:rFonts w:ascii="Times New Roman" w:hAnsi="Times New Roman" w:cs="Times New Roman"/>
          <w:sz w:val="24"/>
          <w:szCs w:val="24"/>
        </w:rPr>
        <w:t>As in other industries, p</w:t>
      </w:r>
      <w:r w:rsidR="00F90179" w:rsidRPr="00403E6A">
        <w:rPr>
          <w:rFonts w:ascii="Times New Roman" w:hAnsi="Times New Roman" w:cs="Times New Roman"/>
          <w:sz w:val="24"/>
          <w:szCs w:val="24"/>
        </w:rPr>
        <w:t xml:space="preserve">rices </w:t>
      </w:r>
      <w:r w:rsidR="003F7F68" w:rsidRPr="00403E6A">
        <w:rPr>
          <w:rFonts w:ascii="Times New Roman" w:hAnsi="Times New Roman" w:cs="Times New Roman"/>
          <w:sz w:val="24"/>
          <w:szCs w:val="24"/>
        </w:rPr>
        <w:t xml:space="preserve">are set </w:t>
      </w:r>
      <w:r w:rsidR="003D6DB0" w:rsidRPr="00403E6A">
        <w:rPr>
          <w:rFonts w:ascii="Times New Roman" w:hAnsi="Times New Roman" w:cs="Times New Roman"/>
          <w:sz w:val="24"/>
          <w:szCs w:val="24"/>
        </w:rPr>
        <w:t xml:space="preserve">to </w:t>
      </w:r>
      <w:r w:rsidR="0008719B" w:rsidRPr="00403E6A">
        <w:rPr>
          <w:rFonts w:ascii="Times New Roman" w:hAnsi="Times New Roman" w:cs="Times New Roman"/>
          <w:sz w:val="24"/>
          <w:szCs w:val="24"/>
        </w:rPr>
        <w:t xml:space="preserve">cover </w:t>
      </w:r>
      <w:r w:rsidR="004A4B0B" w:rsidRPr="00403E6A">
        <w:rPr>
          <w:rFonts w:ascii="Times New Roman" w:hAnsi="Times New Roman" w:cs="Times New Roman"/>
          <w:sz w:val="24"/>
          <w:szCs w:val="24"/>
        </w:rPr>
        <w:t xml:space="preserve">these </w:t>
      </w:r>
      <w:r w:rsidR="0008719B" w:rsidRPr="00403E6A">
        <w:rPr>
          <w:rFonts w:ascii="Times New Roman" w:hAnsi="Times New Roman" w:cs="Times New Roman"/>
          <w:sz w:val="24"/>
          <w:szCs w:val="24"/>
        </w:rPr>
        <w:t>costs</w:t>
      </w:r>
      <w:r w:rsidR="006A7531" w:rsidRPr="00403E6A">
        <w:rPr>
          <w:rFonts w:ascii="Times New Roman" w:hAnsi="Times New Roman" w:cs="Times New Roman"/>
          <w:sz w:val="24"/>
          <w:szCs w:val="24"/>
        </w:rPr>
        <w:t>, so</w:t>
      </w:r>
      <w:r w:rsidR="009B7434" w:rsidRPr="00403E6A">
        <w:rPr>
          <w:rFonts w:ascii="Times New Roman" w:hAnsi="Times New Roman" w:cs="Times New Roman"/>
          <w:sz w:val="24"/>
          <w:szCs w:val="24"/>
        </w:rPr>
        <w:t xml:space="preserve"> the excess </w:t>
      </w:r>
      <w:r w:rsidR="003F7F68" w:rsidRPr="00403E6A">
        <w:rPr>
          <w:rFonts w:ascii="Times New Roman" w:hAnsi="Times New Roman" w:cs="Times New Roman"/>
          <w:sz w:val="24"/>
          <w:szCs w:val="24"/>
        </w:rPr>
        <w:t xml:space="preserve">realized </w:t>
      </w:r>
      <w:r w:rsidR="009B7434" w:rsidRPr="00403E6A">
        <w:rPr>
          <w:rFonts w:ascii="Times New Roman" w:hAnsi="Times New Roman" w:cs="Times New Roman"/>
          <w:sz w:val="24"/>
          <w:szCs w:val="24"/>
        </w:rPr>
        <w:t xml:space="preserve">from services </w:t>
      </w:r>
      <w:r w:rsidR="004241B3" w:rsidRPr="00403E6A">
        <w:rPr>
          <w:rFonts w:ascii="Times New Roman" w:hAnsi="Times New Roman" w:cs="Times New Roman"/>
          <w:sz w:val="24"/>
          <w:szCs w:val="24"/>
        </w:rPr>
        <w:t xml:space="preserve">charged </w:t>
      </w:r>
      <w:r w:rsidR="003D6DB0" w:rsidRPr="00403E6A">
        <w:rPr>
          <w:rFonts w:ascii="Times New Roman" w:hAnsi="Times New Roman" w:cs="Times New Roman"/>
          <w:sz w:val="24"/>
          <w:szCs w:val="24"/>
        </w:rPr>
        <w:t>is</w:t>
      </w:r>
      <w:r w:rsidR="00F37780" w:rsidRPr="00403E6A">
        <w:rPr>
          <w:rFonts w:ascii="Times New Roman" w:hAnsi="Times New Roman" w:cs="Times New Roman"/>
          <w:sz w:val="24"/>
          <w:szCs w:val="24"/>
        </w:rPr>
        <w:t xml:space="preserve"> what makes up</w:t>
      </w:r>
      <w:r w:rsidR="00C467C9" w:rsidRPr="00403E6A">
        <w:rPr>
          <w:rFonts w:ascii="Times New Roman" w:hAnsi="Times New Roman" w:cs="Times New Roman"/>
          <w:sz w:val="24"/>
          <w:szCs w:val="24"/>
        </w:rPr>
        <w:t xml:space="preserve"> a large portion of</w:t>
      </w:r>
      <w:r w:rsidR="003D6DB0" w:rsidRPr="00403E6A">
        <w:rPr>
          <w:rFonts w:ascii="Times New Roman" w:hAnsi="Times New Roman" w:cs="Times New Roman"/>
          <w:sz w:val="24"/>
          <w:szCs w:val="24"/>
        </w:rPr>
        <w:t xml:space="preserve"> the provider’s revenue. </w:t>
      </w:r>
      <w:r w:rsidR="007F718E" w:rsidRPr="00403E6A">
        <w:rPr>
          <w:rFonts w:ascii="Times New Roman" w:hAnsi="Times New Roman" w:cs="Times New Roman"/>
          <w:sz w:val="24"/>
          <w:szCs w:val="24"/>
        </w:rPr>
        <w:t>P</w:t>
      </w:r>
      <w:r w:rsidR="00DD41E3" w:rsidRPr="00403E6A">
        <w:rPr>
          <w:rFonts w:ascii="Times New Roman" w:hAnsi="Times New Roman" w:cs="Times New Roman"/>
          <w:sz w:val="24"/>
          <w:szCs w:val="24"/>
        </w:rPr>
        <w:t>rices</w:t>
      </w:r>
      <w:r w:rsidR="00B64D01" w:rsidRPr="00403E6A">
        <w:rPr>
          <w:rFonts w:ascii="Times New Roman" w:hAnsi="Times New Roman" w:cs="Times New Roman"/>
          <w:sz w:val="24"/>
          <w:szCs w:val="24"/>
        </w:rPr>
        <w:t xml:space="preserve"> of health care services</w:t>
      </w:r>
      <w:r w:rsidR="0043202C" w:rsidRPr="00403E6A">
        <w:rPr>
          <w:rFonts w:ascii="Times New Roman" w:hAnsi="Times New Roman" w:cs="Times New Roman"/>
          <w:sz w:val="24"/>
          <w:szCs w:val="24"/>
        </w:rPr>
        <w:t xml:space="preserve"> </w:t>
      </w:r>
      <w:r w:rsidR="00DD41E3" w:rsidRPr="00403E6A">
        <w:rPr>
          <w:rFonts w:ascii="Times New Roman" w:hAnsi="Times New Roman" w:cs="Times New Roman"/>
          <w:sz w:val="24"/>
          <w:szCs w:val="24"/>
        </w:rPr>
        <w:t xml:space="preserve">are </w:t>
      </w:r>
      <w:r w:rsidR="00017B87" w:rsidRPr="00403E6A">
        <w:rPr>
          <w:rFonts w:ascii="Times New Roman" w:hAnsi="Times New Roman" w:cs="Times New Roman"/>
          <w:sz w:val="24"/>
          <w:szCs w:val="24"/>
        </w:rPr>
        <w:t>determined</w:t>
      </w:r>
      <w:r w:rsidR="00DD41E3" w:rsidRPr="00403E6A">
        <w:rPr>
          <w:rFonts w:ascii="Times New Roman" w:hAnsi="Times New Roman" w:cs="Times New Roman"/>
          <w:sz w:val="24"/>
          <w:szCs w:val="24"/>
        </w:rPr>
        <w:t xml:space="preserve"> </w:t>
      </w:r>
      <w:r w:rsidR="00CC7B19" w:rsidRPr="00403E6A">
        <w:rPr>
          <w:rFonts w:ascii="Times New Roman" w:hAnsi="Times New Roman" w:cs="Times New Roman"/>
          <w:sz w:val="24"/>
          <w:szCs w:val="24"/>
        </w:rPr>
        <w:t>during</w:t>
      </w:r>
      <w:r w:rsidR="007C7DF3" w:rsidRPr="00403E6A">
        <w:rPr>
          <w:rFonts w:ascii="Times New Roman" w:hAnsi="Times New Roman" w:cs="Times New Roman"/>
          <w:sz w:val="24"/>
          <w:szCs w:val="24"/>
        </w:rPr>
        <w:t xml:space="preserve"> </w:t>
      </w:r>
      <w:r w:rsidR="00DD41E3" w:rsidRPr="00403E6A">
        <w:rPr>
          <w:rFonts w:ascii="Times New Roman" w:hAnsi="Times New Roman" w:cs="Times New Roman"/>
          <w:sz w:val="24"/>
          <w:szCs w:val="24"/>
        </w:rPr>
        <w:t xml:space="preserve">negotiations </w:t>
      </w:r>
      <w:r w:rsidR="00CC7B19" w:rsidRPr="00403E6A">
        <w:rPr>
          <w:rFonts w:ascii="Times New Roman" w:hAnsi="Times New Roman" w:cs="Times New Roman"/>
          <w:sz w:val="24"/>
          <w:szCs w:val="24"/>
        </w:rPr>
        <w:t xml:space="preserve">between providers and </w:t>
      </w:r>
      <w:r w:rsidR="00690F9F" w:rsidRPr="00403E6A">
        <w:rPr>
          <w:rFonts w:ascii="Times New Roman" w:hAnsi="Times New Roman" w:cs="Times New Roman"/>
          <w:sz w:val="24"/>
          <w:szCs w:val="24"/>
        </w:rPr>
        <w:t>insurers</w:t>
      </w:r>
      <w:r w:rsidR="00CC7B19" w:rsidRPr="00403E6A">
        <w:rPr>
          <w:rFonts w:ascii="Times New Roman" w:hAnsi="Times New Roman" w:cs="Times New Roman"/>
          <w:sz w:val="24"/>
          <w:szCs w:val="24"/>
        </w:rPr>
        <w:t>.</w:t>
      </w:r>
      <w:r w:rsidR="002D5303" w:rsidRPr="00403E6A">
        <w:rPr>
          <w:rStyle w:val="FootnoteReference"/>
          <w:rFonts w:ascii="Times New Roman" w:hAnsi="Times New Roman" w:cs="Times New Roman"/>
          <w:sz w:val="24"/>
          <w:szCs w:val="24"/>
        </w:rPr>
        <w:footnoteReference w:id="31"/>
      </w:r>
      <w:r w:rsidR="00CC7B19" w:rsidRPr="00403E6A">
        <w:rPr>
          <w:rFonts w:ascii="Times New Roman" w:hAnsi="Times New Roman" w:cs="Times New Roman"/>
          <w:sz w:val="24"/>
          <w:szCs w:val="24"/>
        </w:rPr>
        <w:t xml:space="preserve"> </w:t>
      </w:r>
      <w:r w:rsidR="00292001" w:rsidRPr="00403E6A">
        <w:rPr>
          <w:rFonts w:ascii="Times New Roman" w:hAnsi="Times New Roman" w:cs="Times New Roman"/>
          <w:sz w:val="24"/>
          <w:szCs w:val="24"/>
        </w:rPr>
        <w:t xml:space="preserve">Because </w:t>
      </w:r>
      <w:r w:rsidR="006B430F" w:rsidRPr="00403E6A">
        <w:rPr>
          <w:rFonts w:ascii="Times New Roman" w:hAnsi="Times New Roman" w:cs="Times New Roman"/>
          <w:sz w:val="24"/>
          <w:szCs w:val="24"/>
        </w:rPr>
        <w:t xml:space="preserve">each </w:t>
      </w:r>
      <w:r w:rsidR="00292001" w:rsidRPr="00403E6A">
        <w:rPr>
          <w:rFonts w:ascii="Times New Roman" w:hAnsi="Times New Roman" w:cs="Times New Roman"/>
          <w:sz w:val="24"/>
          <w:szCs w:val="24"/>
        </w:rPr>
        <w:t>price</w:t>
      </w:r>
      <w:r w:rsidR="006B430F" w:rsidRPr="00403E6A">
        <w:rPr>
          <w:rFonts w:ascii="Times New Roman" w:hAnsi="Times New Roman" w:cs="Times New Roman"/>
          <w:sz w:val="24"/>
          <w:szCs w:val="24"/>
        </w:rPr>
        <w:t xml:space="preserve"> negotiation is </w:t>
      </w:r>
      <w:r w:rsidR="007D06D4" w:rsidRPr="00403E6A">
        <w:rPr>
          <w:rFonts w:ascii="Times New Roman" w:hAnsi="Times New Roman" w:cs="Times New Roman"/>
          <w:sz w:val="24"/>
          <w:szCs w:val="24"/>
        </w:rPr>
        <w:t>individualized</w:t>
      </w:r>
      <w:r w:rsidR="00292001" w:rsidRPr="00403E6A">
        <w:rPr>
          <w:rFonts w:ascii="Times New Roman" w:hAnsi="Times New Roman" w:cs="Times New Roman"/>
          <w:sz w:val="24"/>
          <w:szCs w:val="24"/>
        </w:rPr>
        <w:t xml:space="preserve">, </w:t>
      </w:r>
      <w:r w:rsidR="005F5E7D" w:rsidRPr="00403E6A">
        <w:rPr>
          <w:rFonts w:ascii="Times New Roman" w:hAnsi="Times New Roman" w:cs="Times New Roman"/>
          <w:sz w:val="24"/>
          <w:szCs w:val="24"/>
        </w:rPr>
        <w:t>what insurers agree to pay providers vary.</w:t>
      </w:r>
      <w:r w:rsidR="007A2AB5" w:rsidRPr="00403E6A">
        <w:rPr>
          <w:rStyle w:val="FootnoteReference"/>
          <w:rFonts w:ascii="Times New Roman" w:hAnsi="Times New Roman" w:cs="Times New Roman"/>
          <w:sz w:val="24"/>
          <w:szCs w:val="24"/>
        </w:rPr>
        <w:footnoteReference w:id="32"/>
      </w:r>
      <w:r w:rsidR="005F5E7D" w:rsidRPr="00403E6A">
        <w:rPr>
          <w:rFonts w:ascii="Times New Roman" w:hAnsi="Times New Roman" w:cs="Times New Roman"/>
          <w:sz w:val="24"/>
          <w:szCs w:val="24"/>
        </w:rPr>
        <w:t xml:space="preserve"> </w:t>
      </w:r>
      <w:r w:rsidR="00074F50" w:rsidRPr="00403E6A">
        <w:rPr>
          <w:rFonts w:ascii="Times New Roman" w:hAnsi="Times New Roman" w:cs="Times New Roman"/>
          <w:sz w:val="24"/>
          <w:szCs w:val="24"/>
        </w:rPr>
        <w:t xml:space="preserve">Due to the historical practice </w:t>
      </w:r>
      <w:r w:rsidR="007C7DF3" w:rsidRPr="00403E6A">
        <w:rPr>
          <w:rFonts w:ascii="Times New Roman" w:hAnsi="Times New Roman" w:cs="Times New Roman"/>
          <w:sz w:val="24"/>
          <w:szCs w:val="24"/>
        </w:rPr>
        <w:t xml:space="preserve">of private negotiations, </w:t>
      </w:r>
      <w:r w:rsidR="00330E6C" w:rsidRPr="00403E6A">
        <w:rPr>
          <w:rFonts w:ascii="Times New Roman" w:hAnsi="Times New Roman" w:cs="Times New Roman"/>
          <w:sz w:val="24"/>
          <w:szCs w:val="24"/>
        </w:rPr>
        <w:t xml:space="preserve">price agreements </w:t>
      </w:r>
      <w:r w:rsidR="0043202C" w:rsidRPr="00403E6A">
        <w:rPr>
          <w:rFonts w:ascii="Times New Roman" w:hAnsi="Times New Roman" w:cs="Times New Roman"/>
          <w:sz w:val="24"/>
          <w:szCs w:val="24"/>
        </w:rPr>
        <w:t xml:space="preserve">between providers and insurers </w:t>
      </w:r>
      <w:r w:rsidR="00330E6C" w:rsidRPr="00403E6A">
        <w:rPr>
          <w:rFonts w:ascii="Times New Roman" w:hAnsi="Times New Roman" w:cs="Times New Roman"/>
          <w:sz w:val="24"/>
          <w:szCs w:val="24"/>
        </w:rPr>
        <w:t>are not transparent</w:t>
      </w:r>
      <w:r w:rsidR="0082609E" w:rsidRPr="00403E6A">
        <w:rPr>
          <w:rFonts w:ascii="Times New Roman" w:hAnsi="Times New Roman" w:cs="Times New Roman"/>
          <w:sz w:val="24"/>
          <w:szCs w:val="24"/>
        </w:rPr>
        <w:t>.</w:t>
      </w:r>
      <w:r w:rsidR="007A2AB5" w:rsidRPr="00403E6A">
        <w:rPr>
          <w:rStyle w:val="FootnoteReference"/>
          <w:rFonts w:ascii="Times New Roman" w:hAnsi="Times New Roman" w:cs="Times New Roman"/>
          <w:sz w:val="24"/>
          <w:szCs w:val="24"/>
        </w:rPr>
        <w:footnoteReference w:id="33"/>
      </w:r>
      <w:r w:rsidR="0082609E" w:rsidRPr="00403E6A">
        <w:rPr>
          <w:rFonts w:ascii="Times New Roman" w:hAnsi="Times New Roman" w:cs="Times New Roman"/>
          <w:sz w:val="24"/>
          <w:szCs w:val="24"/>
        </w:rPr>
        <w:t xml:space="preserve"> </w:t>
      </w:r>
      <w:r w:rsidR="00404A89" w:rsidRPr="00403E6A">
        <w:rPr>
          <w:rFonts w:ascii="Times New Roman" w:hAnsi="Times New Roman" w:cs="Times New Roman"/>
          <w:sz w:val="24"/>
          <w:szCs w:val="24"/>
        </w:rPr>
        <w:t>Typically,</w:t>
      </w:r>
      <w:r w:rsidR="007454B8" w:rsidRPr="00403E6A">
        <w:rPr>
          <w:rFonts w:ascii="Times New Roman" w:hAnsi="Times New Roman" w:cs="Times New Roman"/>
          <w:sz w:val="24"/>
          <w:szCs w:val="24"/>
        </w:rPr>
        <w:t xml:space="preserve"> then</w:t>
      </w:r>
      <w:r w:rsidR="006945E7" w:rsidRPr="00403E6A">
        <w:rPr>
          <w:rFonts w:ascii="Times New Roman" w:hAnsi="Times New Roman" w:cs="Times New Roman"/>
          <w:sz w:val="24"/>
          <w:szCs w:val="24"/>
        </w:rPr>
        <w:t xml:space="preserve">, </w:t>
      </w:r>
      <w:r w:rsidR="001614DB" w:rsidRPr="00403E6A">
        <w:rPr>
          <w:rFonts w:ascii="Times New Roman" w:hAnsi="Times New Roman" w:cs="Times New Roman"/>
          <w:sz w:val="24"/>
          <w:szCs w:val="24"/>
        </w:rPr>
        <w:t xml:space="preserve">neither </w:t>
      </w:r>
      <w:r w:rsidR="001614DB" w:rsidRPr="00403E6A">
        <w:rPr>
          <w:rFonts w:ascii="Times New Roman" w:hAnsi="Times New Roman" w:cs="Times New Roman"/>
          <w:sz w:val="24"/>
          <w:szCs w:val="24"/>
        </w:rPr>
        <w:lastRenderedPageBreak/>
        <w:t xml:space="preserve">providers or </w:t>
      </w:r>
      <w:r w:rsidR="00045032" w:rsidRPr="00403E6A">
        <w:rPr>
          <w:rFonts w:ascii="Times New Roman" w:hAnsi="Times New Roman" w:cs="Times New Roman"/>
          <w:sz w:val="24"/>
          <w:szCs w:val="24"/>
        </w:rPr>
        <w:t xml:space="preserve">insurers can compare the market rate of health care services </w:t>
      </w:r>
      <w:r w:rsidR="003F2E15" w:rsidRPr="00403E6A">
        <w:rPr>
          <w:rFonts w:ascii="Times New Roman" w:hAnsi="Times New Roman" w:cs="Times New Roman"/>
          <w:sz w:val="24"/>
          <w:szCs w:val="24"/>
        </w:rPr>
        <w:t xml:space="preserve">that </w:t>
      </w:r>
      <w:r w:rsidR="006A151C" w:rsidRPr="00403E6A">
        <w:rPr>
          <w:rFonts w:ascii="Times New Roman" w:hAnsi="Times New Roman" w:cs="Times New Roman"/>
          <w:sz w:val="24"/>
          <w:szCs w:val="24"/>
        </w:rPr>
        <w:t xml:space="preserve">their </w:t>
      </w:r>
      <w:r w:rsidR="003F2E15" w:rsidRPr="00403E6A">
        <w:rPr>
          <w:rFonts w:ascii="Times New Roman" w:hAnsi="Times New Roman" w:cs="Times New Roman"/>
          <w:sz w:val="24"/>
          <w:szCs w:val="24"/>
        </w:rPr>
        <w:t>competitors are charging and payin</w:t>
      </w:r>
      <w:r w:rsidR="006A151C" w:rsidRPr="00403E6A">
        <w:rPr>
          <w:rFonts w:ascii="Times New Roman" w:hAnsi="Times New Roman" w:cs="Times New Roman"/>
          <w:sz w:val="24"/>
          <w:szCs w:val="24"/>
        </w:rPr>
        <w:t>g.</w:t>
      </w:r>
      <w:r w:rsidR="002A0633" w:rsidRPr="00403E6A">
        <w:rPr>
          <w:rStyle w:val="FootnoteReference"/>
          <w:rFonts w:ascii="Times New Roman" w:hAnsi="Times New Roman" w:cs="Times New Roman"/>
          <w:sz w:val="24"/>
          <w:szCs w:val="24"/>
        </w:rPr>
        <w:footnoteReference w:id="34"/>
      </w:r>
      <w:r w:rsidR="006A10B0" w:rsidRPr="00403E6A">
        <w:rPr>
          <w:rFonts w:ascii="Times New Roman" w:hAnsi="Times New Roman" w:cs="Times New Roman"/>
          <w:sz w:val="24"/>
          <w:szCs w:val="24"/>
        </w:rPr>
        <w:t xml:space="preserve"> Most importantly, </w:t>
      </w:r>
      <w:r w:rsidR="00340632" w:rsidRPr="00403E6A">
        <w:rPr>
          <w:rFonts w:ascii="Times New Roman" w:hAnsi="Times New Roman" w:cs="Times New Roman"/>
          <w:sz w:val="24"/>
          <w:szCs w:val="24"/>
        </w:rPr>
        <w:t xml:space="preserve">consumers </w:t>
      </w:r>
      <w:r w:rsidR="00640367" w:rsidRPr="00403E6A">
        <w:rPr>
          <w:rFonts w:ascii="Times New Roman" w:hAnsi="Times New Roman" w:cs="Times New Roman"/>
          <w:sz w:val="24"/>
          <w:szCs w:val="24"/>
        </w:rPr>
        <w:t xml:space="preserve">(and often their employers) </w:t>
      </w:r>
      <w:r w:rsidR="00340632" w:rsidRPr="00403E6A">
        <w:rPr>
          <w:rFonts w:ascii="Times New Roman" w:hAnsi="Times New Roman" w:cs="Times New Roman"/>
          <w:sz w:val="24"/>
          <w:szCs w:val="24"/>
        </w:rPr>
        <w:t xml:space="preserve">are unable to </w:t>
      </w:r>
      <w:r w:rsidR="004C5FC8" w:rsidRPr="00403E6A">
        <w:rPr>
          <w:rFonts w:ascii="Times New Roman" w:hAnsi="Times New Roman" w:cs="Times New Roman"/>
          <w:sz w:val="24"/>
          <w:szCs w:val="24"/>
        </w:rPr>
        <w:t>ascertain</w:t>
      </w:r>
      <w:r w:rsidR="00DB26B5" w:rsidRPr="00403E6A">
        <w:rPr>
          <w:rFonts w:ascii="Times New Roman" w:hAnsi="Times New Roman" w:cs="Times New Roman"/>
          <w:sz w:val="24"/>
          <w:szCs w:val="24"/>
        </w:rPr>
        <w:t xml:space="preserve"> what certain </w:t>
      </w:r>
      <w:r w:rsidR="006E4ACA" w:rsidRPr="00403E6A">
        <w:rPr>
          <w:rFonts w:ascii="Times New Roman" w:hAnsi="Times New Roman" w:cs="Times New Roman"/>
          <w:sz w:val="24"/>
          <w:szCs w:val="24"/>
        </w:rPr>
        <w:t xml:space="preserve">health care </w:t>
      </w:r>
      <w:r w:rsidR="00783F14" w:rsidRPr="00403E6A">
        <w:rPr>
          <w:rFonts w:ascii="Times New Roman" w:hAnsi="Times New Roman" w:cs="Times New Roman"/>
          <w:sz w:val="24"/>
          <w:szCs w:val="24"/>
        </w:rPr>
        <w:t>procedures</w:t>
      </w:r>
      <w:r w:rsidR="006E4ACA" w:rsidRPr="00403E6A">
        <w:rPr>
          <w:rFonts w:ascii="Times New Roman" w:hAnsi="Times New Roman" w:cs="Times New Roman"/>
          <w:sz w:val="24"/>
          <w:szCs w:val="24"/>
        </w:rPr>
        <w:t xml:space="preserve"> will cost under the insurance plan that they have invested in. </w:t>
      </w:r>
      <w:r w:rsidR="000A4B65" w:rsidRPr="00403E6A">
        <w:rPr>
          <w:rStyle w:val="FootnoteReference"/>
          <w:rFonts w:ascii="Times New Roman" w:hAnsi="Times New Roman" w:cs="Times New Roman"/>
          <w:sz w:val="24"/>
          <w:szCs w:val="24"/>
        </w:rPr>
        <w:footnoteReference w:id="35"/>
      </w:r>
    </w:p>
    <w:p w14:paraId="76CF55C2" w14:textId="6EB7F6A9" w:rsidR="001F369C" w:rsidRPr="00403E6A" w:rsidRDefault="004D61B2" w:rsidP="00292001">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r>
      <w:r w:rsidR="00641D19" w:rsidRPr="00403E6A">
        <w:rPr>
          <w:rFonts w:ascii="Times New Roman" w:hAnsi="Times New Roman" w:cs="Times New Roman"/>
          <w:sz w:val="24"/>
          <w:szCs w:val="24"/>
        </w:rPr>
        <w:t xml:space="preserve">Unfortunately for consumers, these private negotiations have led to </w:t>
      </w:r>
      <w:r w:rsidR="00C10DF3" w:rsidRPr="00403E6A">
        <w:rPr>
          <w:rFonts w:ascii="Times New Roman" w:hAnsi="Times New Roman" w:cs="Times New Roman"/>
          <w:sz w:val="24"/>
          <w:szCs w:val="24"/>
        </w:rPr>
        <w:t xml:space="preserve">egregious </w:t>
      </w:r>
      <w:r w:rsidR="00717637" w:rsidRPr="00403E6A">
        <w:rPr>
          <w:rFonts w:ascii="Times New Roman" w:hAnsi="Times New Roman" w:cs="Times New Roman"/>
          <w:sz w:val="24"/>
          <w:szCs w:val="24"/>
        </w:rPr>
        <w:t xml:space="preserve">examples of </w:t>
      </w:r>
      <w:r w:rsidR="00C366E6" w:rsidRPr="00403E6A">
        <w:rPr>
          <w:rFonts w:ascii="Times New Roman" w:hAnsi="Times New Roman" w:cs="Times New Roman"/>
          <w:sz w:val="24"/>
          <w:szCs w:val="24"/>
        </w:rPr>
        <w:t xml:space="preserve">anticompetitive practices that have left </w:t>
      </w:r>
      <w:r w:rsidR="00D178B9" w:rsidRPr="00403E6A">
        <w:rPr>
          <w:rFonts w:ascii="Times New Roman" w:hAnsi="Times New Roman" w:cs="Times New Roman"/>
          <w:sz w:val="24"/>
          <w:szCs w:val="24"/>
        </w:rPr>
        <w:t xml:space="preserve">consumers worse off. </w:t>
      </w:r>
      <w:r w:rsidR="002D0DB1" w:rsidRPr="00403E6A">
        <w:rPr>
          <w:rFonts w:ascii="Times New Roman" w:hAnsi="Times New Roman" w:cs="Times New Roman"/>
          <w:sz w:val="24"/>
          <w:szCs w:val="24"/>
        </w:rPr>
        <w:t xml:space="preserve">For example, in 2018, the </w:t>
      </w:r>
      <w:r w:rsidR="002D0DB1" w:rsidRPr="00403E6A">
        <w:rPr>
          <w:rFonts w:ascii="Times New Roman" w:hAnsi="Times New Roman" w:cs="Times New Roman"/>
          <w:i/>
          <w:iCs/>
          <w:sz w:val="24"/>
          <w:szCs w:val="24"/>
        </w:rPr>
        <w:t>Wall Street Journal</w:t>
      </w:r>
      <w:r w:rsidR="002D0DB1" w:rsidRPr="00403E6A">
        <w:rPr>
          <w:rFonts w:ascii="Times New Roman" w:hAnsi="Times New Roman" w:cs="Times New Roman"/>
          <w:sz w:val="24"/>
          <w:szCs w:val="24"/>
        </w:rPr>
        <w:t xml:space="preserve"> obtained </w:t>
      </w:r>
      <w:r w:rsidR="006D7686" w:rsidRPr="00403E6A">
        <w:rPr>
          <w:rFonts w:ascii="Times New Roman" w:hAnsi="Times New Roman" w:cs="Times New Roman"/>
          <w:sz w:val="24"/>
          <w:szCs w:val="24"/>
        </w:rPr>
        <w:t xml:space="preserve">hidden contracts between insurers and hospitals revealing that </w:t>
      </w:r>
      <w:r w:rsidR="00451DD9" w:rsidRPr="00403E6A">
        <w:rPr>
          <w:rFonts w:ascii="Times New Roman" w:hAnsi="Times New Roman" w:cs="Times New Roman"/>
          <w:sz w:val="24"/>
          <w:szCs w:val="24"/>
        </w:rPr>
        <w:t xml:space="preserve">certain </w:t>
      </w:r>
      <w:r w:rsidR="006D7686" w:rsidRPr="00403E6A">
        <w:rPr>
          <w:rFonts w:ascii="Times New Roman" w:hAnsi="Times New Roman" w:cs="Times New Roman"/>
          <w:sz w:val="24"/>
          <w:szCs w:val="24"/>
        </w:rPr>
        <w:t xml:space="preserve">contracts </w:t>
      </w:r>
      <w:r w:rsidR="00451DD9" w:rsidRPr="00403E6A">
        <w:rPr>
          <w:rFonts w:ascii="Times New Roman" w:hAnsi="Times New Roman" w:cs="Times New Roman"/>
          <w:sz w:val="24"/>
          <w:szCs w:val="24"/>
        </w:rPr>
        <w:t xml:space="preserve">prohibited </w:t>
      </w:r>
      <w:r w:rsidR="006D7686" w:rsidRPr="00403E6A">
        <w:rPr>
          <w:rFonts w:ascii="Times New Roman" w:hAnsi="Times New Roman" w:cs="Times New Roman"/>
          <w:sz w:val="24"/>
          <w:szCs w:val="24"/>
        </w:rPr>
        <w:t xml:space="preserve">insurers from </w:t>
      </w:r>
      <w:r w:rsidR="003F40B4" w:rsidRPr="00403E6A">
        <w:rPr>
          <w:rFonts w:ascii="Times New Roman" w:hAnsi="Times New Roman" w:cs="Times New Roman"/>
          <w:sz w:val="24"/>
          <w:szCs w:val="24"/>
        </w:rPr>
        <w:t xml:space="preserve">allowing </w:t>
      </w:r>
      <w:r w:rsidR="006D7686" w:rsidRPr="00403E6A">
        <w:rPr>
          <w:rFonts w:ascii="Times New Roman" w:hAnsi="Times New Roman" w:cs="Times New Roman"/>
          <w:sz w:val="24"/>
          <w:szCs w:val="24"/>
        </w:rPr>
        <w:t xml:space="preserve">patients to </w:t>
      </w:r>
      <w:r w:rsidR="003F40B4" w:rsidRPr="00403E6A">
        <w:rPr>
          <w:rFonts w:ascii="Times New Roman" w:hAnsi="Times New Roman" w:cs="Times New Roman"/>
          <w:sz w:val="24"/>
          <w:szCs w:val="24"/>
        </w:rPr>
        <w:t xml:space="preserve">visit </w:t>
      </w:r>
      <w:r w:rsidR="006D7686" w:rsidRPr="00403E6A">
        <w:rPr>
          <w:rFonts w:ascii="Times New Roman" w:hAnsi="Times New Roman" w:cs="Times New Roman"/>
          <w:sz w:val="24"/>
          <w:szCs w:val="24"/>
        </w:rPr>
        <w:t>less-expensive or higher-quality health care providers.</w:t>
      </w:r>
      <w:r w:rsidR="00D7150C" w:rsidRPr="00403E6A">
        <w:rPr>
          <w:rStyle w:val="FootnoteReference"/>
          <w:rFonts w:ascii="Times New Roman" w:hAnsi="Times New Roman" w:cs="Times New Roman"/>
          <w:sz w:val="24"/>
          <w:szCs w:val="24"/>
        </w:rPr>
        <w:footnoteReference w:id="36"/>
      </w:r>
      <w:r w:rsidR="00B70A2F" w:rsidRPr="00403E6A">
        <w:rPr>
          <w:rFonts w:ascii="Times New Roman" w:hAnsi="Times New Roman" w:cs="Times New Roman"/>
          <w:sz w:val="24"/>
          <w:szCs w:val="24"/>
        </w:rPr>
        <w:t xml:space="preserve"> These “anti-steering clauses”</w:t>
      </w:r>
      <w:r w:rsidR="00660BAE" w:rsidRPr="00403E6A">
        <w:rPr>
          <w:rFonts w:ascii="Times New Roman" w:hAnsi="Times New Roman" w:cs="Times New Roman"/>
          <w:sz w:val="24"/>
          <w:szCs w:val="24"/>
        </w:rPr>
        <w:t xml:space="preserve"> essentially </w:t>
      </w:r>
      <w:r w:rsidR="00E07A2F" w:rsidRPr="00403E6A">
        <w:rPr>
          <w:rFonts w:ascii="Times New Roman" w:hAnsi="Times New Roman" w:cs="Times New Roman"/>
          <w:sz w:val="24"/>
          <w:szCs w:val="24"/>
        </w:rPr>
        <w:t>helped hospital networks guarantee a certain amount of business through their contract with the insurer</w:t>
      </w:r>
      <w:r w:rsidR="005E043E" w:rsidRPr="00403E6A">
        <w:rPr>
          <w:rFonts w:ascii="Times New Roman" w:hAnsi="Times New Roman" w:cs="Times New Roman"/>
          <w:sz w:val="24"/>
          <w:szCs w:val="24"/>
        </w:rPr>
        <w:t>.</w:t>
      </w:r>
      <w:r w:rsidR="00C40822" w:rsidRPr="00403E6A">
        <w:rPr>
          <w:rStyle w:val="FootnoteReference"/>
          <w:rFonts w:ascii="Times New Roman" w:hAnsi="Times New Roman" w:cs="Times New Roman"/>
          <w:sz w:val="24"/>
          <w:szCs w:val="24"/>
        </w:rPr>
        <w:footnoteReference w:id="37"/>
      </w:r>
      <w:r w:rsidR="005E043E" w:rsidRPr="00403E6A">
        <w:rPr>
          <w:rFonts w:ascii="Times New Roman" w:hAnsi="Times New Roman" w:cs="Times New Roman"/>
          <w:sz w:val="24"/>
          <w:szCs w:val="24"/>
        </w:rPr>
        <w:t xml:space="preserve"> </w:t>
      </w:r>
      <w:r w:rsidR="0005171A" w:rsidRPr="00403E6A">
        <w:rPr>
          <w:rFonts w:ascii="Times New Roman" w:hAnsi="Times New Roman" w:cs="Times New Roman"/>
          <w:sz w:val="24"/>
          <w:szCs w:val="24"/>
        </w:rPr>
        <w:t xml:space="preserve">The </w:t>
      </w:r>
      <w:r w:rsidR="0005171A" w:rsidRPr="00403E6A">
        <w:rPr>
          <w:rFonts w:ascii="Times New Roman" w:hAnsi="Times New Roman" w:cs="Times New Roman"/>
          <w:i/>
          <w:iCs/>
          <w:sz w:val="24"/>
          <w:szCs w:val="24"/>
        </w:rPr>
        <w:t>Journal</w:t>
      </w:r>
      <w:r w:rsidR="0005171A" w:rsidRPr="00403E6A">
        <w:rPr>
          <w:rFonts w:ascii="Times New Roman" w:hAnsi="Times New Roman" w:cs="Times New Roman"/>
          <w:sz w:val="24"/>
          <w:szCs w:val="24"/>
        </w:rPr>
        <w:t xml:space="preserve">’s findings also revealed that </w:t>
      </w:r>
      <w:r w:rsidR="00AE47DB" w:rsidRPr="00403E6A">
        <w:rPr>
          <w:rFonts w:ascii="Times New Roman" w:hAnsi="Times New Roman" w:cs="Times New Roman"/>
          <w:sz w:val="24"/>
          <w:szCs w:val="24"/>
        </w:rPr>
        <w:t xml:space="preserve">some </w:t>
      </w:r>
      <w:r w:rsidR="00700149" w:rsidRPr="00403E6A">
        <w:rPr>
          <w:rFonts w:ascii="Times New Roman" w:hAnsi="Times New Roman" w:cs="Times New Roman"/>
          <w:sz w:val="24"/>
          <w:szCs w:val="24"/>
        </w:rPr>
        <w:t>networks</w:t>
      </w:r>
      <w:r w:rsidR="006D7686" w:rsidRPr="00403E6A">
        <w:rPr>
          <w:rFonts w:ascii="Times New Roman" w:hAnsi="Times New Roman" w:cs="Times New Roman"/>
          <w:sz w:val="24"/>
          <w:szCs w:val="24"/>
        </w:rPr>
        <w:t xml:space="preserve"> </w:t>
      </w:r>
      <w:r w:rsidR="00AE47DB" w:rsidRPr="00403E6A">
        <w:rPr>
          <w:rFonts w:ascii="Times New Roman" w:hAnsi="Times New Roman" w:cs="Times New Roman"/>
          <w:sz w:val="24"/>
          <w:szCs w:val="24"/>
        </w:rPr>
        <w:t>prevent</w:t>
      </w:r>
      <w:r w:rsidR="001D5270" w:rsidRPr="00403E6A">
        <w:rPr>
          <w:rFonts w:ascii="Times New Roman" w:hAnsi="Times New Roman" w:cs="Times New Roman"/>
          <w:sz w:val="24"/>
          <w:szCs w:val="24"/>
        </w:rPr>
        <w:t>ed</w:t>
      </w:r>
      <w:r w:rsidR="006D7686" w:rsidRPr="00403E6A">
        <w:rPr>
          <w:rFonts w:ascii="Times New Roman" w:hAnsi="Times New Roman" w:cs="Times New Roman"/>
          <w:sz w:val="24"/>
          <w:szCs w:val="24"/>
        </w:rPr>
        <w:t xml:space="preserve"> insurers from excluding some of the system’s hospitals from the insurer’s networks.</w:t>
      </w:r>
      <w:r w:rsidR="00C40822" w:rsidRPr="00403E6A">
        <w:rPr>
          <w:rStyle w:val="FootnoteReference"/>
          <w:rFonts w:ascii="Times New Roman" w:hAnsi="Times New Roman" w:cs="Times New Roman"/>
          <w:sz w:val="24"/>
          <w:szCs w:val="24"/>
        </w:rPr>
        <w:footnoteReference w:id="38"/>
      </w:r>
      <w:r w:rsidR="00C50771" w:rsidRPr="00403E6A">
        <w:rPr>
          <w:rFonts w:ascii="Times New Roman" w:hAnsi="Times New Roman" w:cs="Times New Roman"/>
          <w:sz w:val="24"/>
          <w:szCs w:val="24"/>
        </w:rPr>
        <w:t xml:space="preserve"> </w:t>
      </w:r>
      <w:r w:rsidR="00AF5833" w:rsidRPr="00403E6A">
        <w:rPr>
          <w:rFonts w:ascii="Times New Roman" w:hAnsi="Times New Roman" w:cs="Times New Roman"/>
          <w:sz w:val="24"/>
          <w:szCs w:val="24"/>
        </w:rPr>
        <w:t xml:space="preserve">Moreover, certain </w:t>
      </w:r>
      <w:r w:rsidR="006D7686" w:rsidRPr="00403E6A">
        <w:rPr>
          <w:rFonts w:ascii="Times New Roman" w:hAnsi="Times New Roman" w:cs="Times New Roman"/>
          <w:sz w:val="24"/>
          <w:szCs w:val="24"/>
        </w:rPr>
        <w:t>contract provisions</w:t>
      </w:r>
      <w:r w:rsidR="00B53854" w:rsidRPr="00403E6A">
        <w:rPr>
          <w:rFonts w:ascii="Times New Roman" w:hAnsi="Times New Roman" w:cs="Times New Roman"/>
          <w:sz w:val="24"/>
          <w:szCs w:val="24"/>
        </w:rPr>
        <w:t xml:space="preserve"> allowed a hospital operator to block information from online shopping tools that insurers offe</w:t>
      </w:r>
      <w:r w:rsidR="00AF5833" w:rsidRPr="00403E6A">
        <w:rPr>
          <w:rFonts w:ascii="Times New Roman" w:hAnsi="Times New Roman" w:cs="Times New Roman"/>
          <w:sz w:val="24"/>
          <w:szCs w:val="24"/>
        </w:rPr>
        <w:t xml:space="preserve">r </w:t>
      </w:r>
      <w:r w:rsidR="00031811" w:rsidRPr="00403E6A">
        <w:rPr>
          <w:rFonts w:ascii="Times New Roman" w:hAnsi="Times New Roman" w:cs="Times New Roman"/>
          <w:sz w:val="24"/>
          <w:szCs w:val="24"/>
        </w:rPr>
        <w:t xml:space="preserve">to </w:t>
      </w:r>
      <w:r w:rsidR="00B52D5E" w:rsidRPr="00403E6A">
        <w:rPr>
          <w:rFonts w:ascii="Times New Roman" w:hAnsi="Times New Roman" w:cs="Times New Roman"/>
          <w:sz w:val="24"/>
          <w:szCs w:val="24"/>
        </w:rPr>
        <w:t>beneficiaries</w:t>
      </w:r>
      <w:r w:rsidR="00031811" w:rsidRPr="00403E6A">
        <w:rPr>
          <w:rFonts w:ascii="Times New Roman" w:hAnsi="Times New Roman" w:cs="Times New Roman"/>
          <w:sz w:val="24"/>
          <w:szCs w:val="24"/>
        </w:rPr>
        <w:t xml:space="preserve"> </w:t>
      </w:r>
      <w:r w:rsidR="00070AE0" w:rsidRPr="00403E6A">
        <w:rPr>
          <w:rFonts w:ascii="Times New Roman" w:hAnsi="Times New Roman" w:cs="Times New Roman"/>
          <w:sz w:val="24"/>
          <w:szCs w:val="24"/>
        </w:rPr>
        <w:t xml:space="preserve">to </w:t>
      </w:r>
      <w:r w:rsidR="00AF547B" w:rsidRPr="00403E6A">
        <w:rPr>
          <w:rFonts w:ascii="Times New Roman" w:hAnsi="Times New Roman" w:cs="Times New Roman"/>
          <w:sz w:val="24"/>
          <w:szCs w:val="24"/>
        </w:rPr>
        <w:t>show</w:t>
      </w:r>
      <w:r w:rsidR="00B52D5E" w:rsidRPr="00403E6A">
        <w:rPr>
          <w:rFonts w:ascii="Times New Roman" w:hAnsi="Times New Roman" w:cs="Times New Roman"/>
          <w:sz w:val="24"/>
          <w:szCs w:val="24"/>
        </w:rPr>
        <w:t xml:space="preserve"> </w:t>
      </w:r>
      <w:r w:rsidR="006D7686" w:rsidRPr="00403E6A">
        <w:rPr>
          <w:rFonts w:ascii="Times New Roman" w:hAnsi="Times New Roman" w:cs="Times New Roman"/>
          <w:sz w:val="24"/>
          <w:szCs w:val="24"/>
        </w:rPr>
        <w:t>a hospital’s prices.</w:t>
      </w:r>
      <w:r w:rsidR="00C35982" w:rsidRPr="00403E6A">
        <w:rPr>
          <w:rStyle w:val="FootnoteReference"/>
          <w:rFonts w:ascii="Times New Roman" w:hAnsi="Times New Roman" w:cs="Times New Roman"/>
          <w:sz w:val="24"/>
          <w:szCs w:val="24"/>
        </w:rPr>
        <w:footnoteReference w:id="39"/>
      </w:r>
      <w:r w:rsidR="002D0DB1" w:rsidRPr="00403E6A">
        <w:rPr>
          <w:rFonts w:ascii="Times New Roman" w:hAnsi="Times New Roman" w:cs="Times New Roman"/>
          <w:sz w:val="24"/>
          <w:szCs w:val="24"/>
        </w:rPr>
        <w:t xml:space="preserve"> </w:t>
      </w:r>
      <w:r w:rsidR="00F27B36" w:rsidRPr="00403E6A">
        <w:rPr>
          <w:rFonts w:ascii="Times New Roman" w:hAnsi="Times New Roman" w:cs="Times New Roman"/>
          <w:sz w:val="24"/>
          <w:szCs w:val="24"/>
        </w:rPr>
        <w:t xml:space="preserve">Other </w:t>
      </w:r>
      <w:r w:rsidR="00714C67" w:rsidRPr="00403E6A">
        <w:rPr>
          <w:rFonts w:ascii="Times New Roman" w:hAnsi="Times New Roman" w:cs="Times New Roman"/>
          <w:sz w:val="24"/>
          <w:szCs w:val="24"/>
        </w:rPr>
        <w:t xml:space="preserve">anti-consumer provisions included in the </w:t>
      </w:r>
      <w:r w:rsidR="00714C67" w:rsidRPr="00403E6A">
        <w:rPr>
          <w:rFonts w:ascii="Times New Roman" w:hAnsi="Times New Roman" w:cs="Times New Roman"/>
          <w:i/>
          <w:iCs/>
          <w:sz w:val="24"/>
          <w:szCs w:val="24"/>
        </w:rPr>
        <w:t>Journal’s</w:t>
      </w:r>
      <w:r w:rsidR="00714C67" w:rsidRPr="00403E6A">
        <w:rPr>
          <w:rFonts w:ascii="Times New Roman" w:hAnsi="Times New Roman" w:cs="Times New Roman"/>
          <w:sz w:val="24"/>
          <w:szCs w:val="24"/>
        </w:rPr>
        <w:t xml:space="preserve"> findings included hospital charges called “facility fee</w:t>
      </w:r>
      <w:r w:rsidR="00CB1C15" w:rsidRPr="00403E6A">
        <w:rPr>
          <w:rFonts w:ascii="Times New Roman" w:hAnsi="Times New Roman" w:cs="Times New Roman"/>
          <w:sz w:val="24"/>
          <w:szCs w:val="24"/>
        </w:rPr>
        <w:t>s</w:t>
      </w:r>
      <w:r w:rsidR="006A3022" w:rsidRPr="00403E6A">
        <w:rPr>
          <w:rFonts w:ascii="Times New Roman" w:hAnsi="Times New Roman" w:cs="Times New Roman"/>
          <w:sz w:val="24"/>
          <w:szCs w:val="24"/>
        </w:rPr>
        <w:t>.</w:t>
      </w:r>
      <w:r w:rsidR="00714C67" w:rsidRPr="00403E6A">
        <w:rPr>
          <w:rFonts w:ascii="Times New Roman" w:hAnsi="Times New Roman" w:cs="Times New Roman"/>
          <w:sz w:val="24"/>
          <w:szCs w:val="24"/>
        </w:rPr>
        <w:t>”</w:t>
      </w:r>
      <w:r w:rsidR="006973D0" w:rsidRPr="00403E6A">
        <w:rPr>
          <w:rFonts w:ascii="Times New Roman" w:hAnsi="Times New Roman" w:cs="Times New Roman"/>
          <w:sz w:val="24"/>
          <w:szCs w:val="24"/>
        </w:rPr>
        <w:t xml:space="preserve"> </w:t>
      </w:r>
      <w:r w:rsidR="006A3022" w:rsidRPr="00403E6A">
        <w:rPr>
          <w:rFonts w:ascii="Times New Roman" w:hAnsi="Times New Roman" w:cs="Times New Roman"/>
          <w:sz w:val="24"/>
          <w:szCs w:val="24"/>
        </w:rPr>
        <w:t>These fees “</w:t>
      </w:r>
      <w:r w:rsidR="006973D0" w:rsidRPr="00403E6A">
        <w:rPr>
          <w:rFonts w:ascii="Times New Roman" w:hAnsi="Times New Roman" w:cs="Times New Roman"/>
          <w:sz w:val="24"/>
          <w:szCs w:val="24"/>
        </w:rPr>
        <w:t>are supposed to cover the extra costs associated with care given in a hospital setting, including regulatory and safety standards that apply to hospitals.</w:t>
      </w:r>
      <w:r w:rsidR="006A3022" w:rsidRPr="00403E6A">
        <w:rPr>
          <w:rFonts w:ascii="Times New Roman" w:hAnsi="Times New Roman" w:cs="Times New Roman"/>
          <w:sz w:val="24"/>
          <w:szCs w:val="24"/>
        </w:rPr>
        <w:t>”</w:t>
      </w:r>
      <w:r w:rsidR="00640F95" w:rsidRPr="00403E6A">
        <w:rPr>
          <w:rStyle w:val="FootnoteReference"/>
          <w:rFonts w:ascii="Times New Roman" w:hAnsi="Times New Roman" w:cs="Times New Roman"/>
          <w:sz w:val="24"/>
          <w:szCs w:val="24"/>
        </w:rPr>
        <w:footnoteReference w:id="40"/>
      </w:r>
      <w:r w:rsidR="006A3022" w:rsidRPr="00403E6A">
        <w:rPr>
          <w:rFonts w:ascii="Times New Roman" w:hAnsi="Times New Roman" w:cs="Times New Roman"/>
          <w:sz w:val="24"/>
          <w:szCs w:val="24"/>
        </w:rPr>
        <w:t xml:space="preserve"> </w:t>
      </w:r>
    </w:p>
    <w:p w14:paraId="76A699B5" w14:textId="6327739D" w:rsidR="00535491" w:rsidRPr="00403E6A" w:rsidRDefault="001F369C" w:rsidP="00292001">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r>
      <w:r w:rsidR="00AD57A1" w:rsidRPr="00403E6A">
        <w:rPr>
          <w:rFonts w:ascii="Times New Roman" w:hAnsi="Times New Roman" w:cs="Times New Roman"/>
          <w:sz w:val="24"/>
          <w:szCs w:val="24"/>
        </w:rPr>
        <w:t xml:space="preserve">Although one may assume </w:t>
      </w:r>
      <w:r w:rsidR="00400921" w:rsidRPr="00403E6A">
        <w:rPr>
          <w:rFonts w:ascii="Times New Roman" w:hAnsi="Times New Roman" w:cs="Times New Roman"/>
          <w:sz w:val="24"/>
          <w:szCs w:val="24"/>
        </w:rPr>
        <w:t xml:space="preserve">that </w:t>
      </w:r>
      <w:r w:rsidR="00811F24" w:rsidRPr="00403E6A">
        <w:rPr>
          <w:rFonts w:ascii="Times New Roman" w:hAnsi="Times New Roman" w:cs="Times New Roman"/>
          <w:sz w:val="24"/>
          <w:szCs w:val="24"/>
        </w:rPr>
        <w:t xml:space="preserve">the manner of negotiations </w:t>
      </w:r>
      <w:r w:rsidR="00A27145" w:rsidRPr="00403E6A">
        <w:rPr>
          <w:rFonts w:ascii="Times New Roman" w:hAnsi="Times New Roman" w:cs="Times New Roman"/>
          <w:sz w:val="24"/>
          <w:szCs w:val="24"/>
        </w:rPr>
        <w:t>between providers and insurers</w:t>
      </w:r>
      <w:r w:rsidR="00400921" w:rsidRPr="00403E6A">
        <w:rPr>
          <w:rFonts w:ascii="Times New Roman" w:hAnsi="Times New Roman" w:cs="Times New Roman"/>
          <w:sz w:val="24"/>
          <w:szCs w:val="24"/>
        </w:rPr>
        <w:t xml:space="preserve"> would have a net negative effect on </w:t>
      </w:r>
      <w:r w:rsidR="00C005FA" w:rsidRPr="00403E6A">
        <w:rPr>
          <w:rFonts w:ascii="Times New Roman" w:hAnsi="Times New Roman" w:cs="Times New Roman"/>
          <w:sz w:val="24"/>
          <w:szCs w:val="24"/>
        </w:rPr>
        <w:t>competing insurers</w:t>
      </w:r>
      <w:r w:rsidR="002E22DA" w:rsidRPr="00403E6A">
        <w:rPr>
          <w:rFonts w:ascii="Times New Roman" w:hAnsi="Times New Roman" w:cs="Times New Roman"/>
          <w:sz w:val="24"/>
          <w:szCs w:val="24"/>
        </w:rPr>
        <w:t xml:space="preserve"> and providers</w:t>
      </w:r>
      <w:r w:rsidR="004C7AC6" w:rsidRPr="00403E6A">
        <w:rPr>
          <w:rFonts w:ascii="Times New Roman" w:hAnsi="Times New Roman" w:cs="Times New Roman"/>
          <w:sz w:val="24"/>
          <w:szCs w:val="24"/>
        </w:rPr>
        <w:t xml:space="preserve">, </w:t>
      </w:r>
      <w:r w:rsidR="00A27145" w:rsidRPr="00403E6A">
        <w:rPr>
          <w:rFonts w:ascii="Times New Roman" w:hAnsi="Times New Roman" w:cs="Times New Roman"/>
          <w:sz w:val="24"/>
          <w:szCs w:val="24"/>
        </w:rPr>
        <w:t xml:space="preserve">that is not exactly </w:t>
      </w:r>
      <w:r w:rsidR="00A27145" w:rsidRPr="00403E6A">
        <w:rPr>
          <w:rFonts w:ascii="Times New Roman" w:hAnsi="Times New Roman" w:cs="Times New Roman"/>
          <w:sz w:val="24"/>
          <w:szCs w:val="24"/>
        </w:rPr>
        <w:lastRenderedPageBreak/>
        <w:t xml:space="preserve">what has happened. </w:t>
      </w:r>
      <w:r w:rsidR="00BB6A76" w:rsidRPr="00403E6A">
        <w:rPr>
          <w:rFonts w:ascii="Times New Roman" w:hAnsi="Times New Roman" w:cs="Times New Roman"/>
          <w:sz w:val="24"/>
          <w:szCs w:val="24"/>
        </w:rPr>
        <w:t xml:space="preserve">As providers have been incentivized through market forces and </w:t>
      </w:r>
      <w:r w:rsidR="00CA05E0" w:rsidRPr="00403E6A">
        <w:rPr>
          <w:rFonts w:ascii="Times New Roman" w:hAnsi="Times New Roman" w:cs="Times New Roman"/>
          <w:sz w:val="24"/>
          <w:szCs w:val="24"/>
        </w:rPr>
        <w:t xml:space="preserve">government policy to consolidate, </w:t>
      </w:r>
      <w:r w:rsidR="0036255F" w:rsidRPr="00403E6A">
        <w:rPr>
          <w:rFonts w:ascii="Times New Roman" w:hAnsi="Times New Roman" w:cs="Times New Roman"/>
          <w:sz w:val="24"/>
          <w:szCs w:val="24"/>
        </w:rPr>
        <w:t>insurers</w:t>
      </w:r>
      <w:r w:rsidR="00EF4D0D" w:rsidRPr="00403E6A">
        <w:rPr>
          <w:rFonts w:ascii="Times New Roman" w:hAnsi="Times New Roman" w:cs="Times New Roman"/>
          <w:sz w:val="24"/>
          <w:szCs w:val="24"/>
        </w:rPr>
        <w:t xml:space="preserve"> </w:t>
      </w:r>
      <w:r w:rsidR="000A1F79" w:rsidRPr="00403E6A">
        <w:rPr>
          <w:rFonts w:ascii="Times New Roman" w:hAnsi="Times New Roman" w:cs="Times New Roman"/>
          <w:sz w:val="24"/>
          <w:szCs w:val="24"/>
        </w:rPr>
        <w:t>have felt the need to increase their bargaining power</w:t>
      </w:r>
      <w:r w:rsidR="002F4B70" w:rsidRPr="00403E6A">
        <w:rPr>
          <w:rFonts w:ascii="Times New Roman" w:hAnsi="Times New Roman" w:cs="Times New Roman"/>
          <w:sz w:val="24"/>
          <w:szCs w:val="24"/>
        </w:rPr>
        <w:t xml:space="preserve"> as well</w:t>
      </w:r>
      <w:r w:rsidR="001979B1" w:rsidRPr="00403E6A">
        <w:rPr>
          <w:rFonts w:ascii="Times New Roman" w:hAnsi="Times New Roman" w:cs="Times New Roman"/>
          <w:sz w:val="24"/>
          <w:szCs w:val="24"/>
        </w:rPr>
        <w:t>.</w:t>
      </w:r>
      <w:r w:rsidR="008D7A0A" w:rsidRPr="00403E6A">
        <w:rPr>
          <w:rFonts w:ascii="Times New Roman" w:hAnsi="Times New Roman" w:cs="Times New Roman"/>
          <w:sz w:val="24"/>
          <w:szCs w:val="24"/>
        </w:rPr>
        <w:t xml:space="preserve"> </w:t>
      </w:r>
      <w:r w:rsidR="00107192" w:rsidRPr="00403E6A">
        <w:rPr>
          <w:rStyle w:val="FootnoteReference"/>
          <w:rFonts w:ascii="Times New Roman" w:hAnsi="Times New Roman" w:cs="Times New Roman"/>
          <w:sz w:val="24"/>
          <w:szCs w:val="24"/>
        </w:rPr>
        <w:footnoteReference w:id="41"/>
      </w:r>
      <w:r w:rsidR="00107192" w:rsidRPr="00403E6A">
        <w:rPr>
          <w:rFonts w:ascii="Times New Roman" w:hAnsi="Times New Roman" w:cs="Times New Roman"/>
          <w:sz w:val="24"/>
          <w:szCs w:val="24"/>
        </w:rPr>
        <w:t xml:space="preserve"> </w:t>
      </w:r>
      <w:r w:rsidR="009B7222" w:rsidRPr="00403E6A">
        <w:rPr>
          <w:rFonts w:ascii="Times New Roman" w:hAnsi="Times New Roman" w:cs="Times New Roman"/>
          <w:sz w:val="24"/>
          <w:szCs w:val="24"/>
        </w:rPr>
        <w:t>Economic science would suggest that t</w:t>
      </w:r>
      <w:r w:rsidR="00A9781B" w:rsidRPr="00403E6A">
        <w:rPr>
          <w:rFonts w:ascii="Times New Roman" w:hAnsi="Times New Roman" w:cs="Times New Roman"/>
          <w:sz w:val="24"/>
          <w:szCs w:val="24"/>
        </w:rPr>
        <w:t xml:space="preserve">his could </w:t>
      </w:r>
      <w:r w:rsidR="00614A0B" w:rsidRPr="00403E6A">
        <w:rPr>
          <w:rFonts w:ascii="Times New Roman" w:hAnsi="Times New Roman" w:cs="Times New Roman"/>
          <w:sz w:val="24"/>
          <w:szCs w:val="24"/>
        </w:rPr>
        <w:t xml:space="preserve">allow those insurers to </w:t>
      </w:r>
      <w:r w:rsidR="00D20977" w:rsidRPr="00403E6A">
        <w:rPr>
          <w:rFonts w:ascii="Times New Roman" w:hAnsi="Times New Roman" w:cs="Times New Roman"/>
          <w:sz w:val="24"/>
          <w:szCs w:val="24"/>
        </w:rPr>
        <w:t xml:space="preserve">negotiate lower prices, due to </w:t>
      </w:r>
      <w:r w:rsidR="004C6268" w:rsidRPr="00403E6A">
        <w:rPr>
          <w:rFonts w:ascii="Times New Roman" w:hAnsi="Times New Roman" w:cs="Times New Roman"/>
          <w:sz w:val="24"/>
          <w:szCs w:val="24"/>
        </w:rPr>
        <w:t>an expanded</w:t>
      </w:r>
      <w:r w:rsidR="00D134AD" w:rsidRPr="00403E6A">
        <w:rPr>
          <w:rFonts w:ascii="Times New Roman" w:hAnsi="Times New Roman" w:cs="Times New Roman"/>
          <w:sz w:val="24"/>
          <w:szCs w:val="24"/>
        </w:rPr>
        <w:t xml:space="preserve"> beneficiary pool.</w:t>
      </w:r>
      <w:r w:rsidR="00A20A24" w:rsidRPr="00403E6A">
        <w:rPr>
          <w:rFonts w:ascii="Times New Roman" w:hAnsi="Times New Roman" w:cs="Times New Roman"/>
          <w:sz w:val="24"/>
          <w:szCs w:val="24"/>
        </w:rPr>
        <w:t xml:space="preserve"> But, a</w:t>
      </w:r>
      <w:r w:rsidR="00E37537" w:rsidRPr="00403E6A">
        <w:rPr>
          <w:rFonts w:ascii="Times New Roman" w:hAnsi="Times New Roman" w:cs="Times New Roman"/>
          <w:sz w:val="24"/>
          <w:szCs w:val="24"/>
        </w:rPr>
        <w:t xml:space="preserve">s both markets have centralized, </w:t>
      </w:r>
      <w:r w:rsidR="007B25B2" w:rsidRPr="00403E6A">
        <w:rPr>
          <w:rFonts w:ascii="Times New Roman" w:hAnsi="Times New Roman" w:cs="Times New Roman"/>
          <w:sz w:val="24"/>
          <w:szCs w:val="24"/>
        </w:rPr>
        <w:t>there is concern that the relationship between the parties ha</w:t>
      </w:r>
      <w:r w:rsidR="00C73AA7" w:rsidRPr="00403E6A">
        <w:rPr>
          <w:rFonts w:ascii="Times New Roman" w:hAnsi="Times New Roman" w:cs="Times New Roman"/>
          <w:sz w:val="24"/>
          <w:szCs w:val="24"/>
        </w:rPr>
        <w:t xml:space="preserve">s become one of </w:t>
      </w:r>
      <w:r w:rsidR="008E19A7" w:rsidRPr="00403E6A">
        <w:rPr>
          <w:rFonts w:ascii="Times New Roman" w:hAnsi="Times New Roman" w:cs="Times New Roman"/>
          <w:sz w:val="24"/>
          <w:szCs w:val="24"/>
        </w:rPr>
        <w:t xml:space="preserve">negotiating </w:t>
      </w:r>
      <w:r w:rsidR="00C73AA7" w:rsidRPr="00403E6A">
        <w:rPr>
          <w:rFonts w:ascii="Times New Roman" w:hAnsi="Times New Roman" w:cs="Times New Roman"/>
          <w:sz w:val="24"/>
          <w:szCs w:val="24"/>
        </w:rPr>
        <w:t xml:space="preserve">shared </w:t>
      </w:r>
      <w:r w:rsidR="00116312" w:rsidRPr="00403E6A">
        <w:rPr>
          <w:rFonts w:ascii="Times New Roman" w:hAnsi="Times New Roman" w:cs="Times New Roman"/>
          <w:sz w:val="24"/>
          <w:szCs w:val="24"/>
        </w:rPr>
        <w:t>interest</w:t>
      </w:r>
      <w:r w:rsidR="008E19A7" w:rsidRPr="00403E6A">
        <w:rPr>
          <w:rFonts w:ascii="Times New Roman" w:hAnsi="Times New Roman" w:cs="Times New Roman"/>
          <w:sz w:val="24"/>
          <w:szCs w:val="24"/>
        </w:rPr>
        <w:t>s</w:t>
      </w:r>
      <w:r w:rsidR="00AA6CCC" w:rsidRPr="00403E6A">
        <w:rPr>
          <w:rFonts w:ascii="Times New Roman" w:hAnsi="Times New Roman" w:cs="Times New Roman"/>
          <w:sz w:val="24"/>
          <w:szCs w:val="24"/>
        </w:rPr>
        <w:t xml:space="preserve">, instead of </w:t>
      </w:r>
      <w:r w:rsidR="00887991" w:rsidRPr="00403E6A">
        <w:rPr>
          <w:rFonts w:ascii="Times New Roman" w:hAnsi="Times New Roman" w:cs="Times New Roman"/>
          <w:sz w:val="24"/>
          <w:szCs w:val="24"/>
        </w:rPr>
        <w:t>competitive prices</w:t>
      </w:r>
      <w:r w:rsidR="00A747C4" w:rsidRPr="00403E6A">
        <w:rPr>
          <w:rFonts w:ascii="Times New Roman" w:hAnsi="Times New Roman" w:cs="Times New Roman"/>
          <w:sz w:val="24"/>
          <w:szCs w:val="24"/>
        </w:rPr>
        <w:t xml:space="preserve"> for consumers</w:t>
      </w:r>
      <w:r w:rsidR="00887991" w:rsidRPr="00403E6A">
        <w:rPr>
          <w:rFonts w:ascii="Times New Roman" w:hAnsi="Times New Roman" w:cs="Times New Roman"/>
          <w:sz w:val="24"/>
          <w:szCs w:val="24"/>
        </w:rPr>
        <w:t>.</w:t>
      </w:r>
      <w:r w:rsidR="001D1ED0" w:rsidRPr="00403E6A">
        <w:rPr>
          <w:rStyle w:val="FootnoteReference"/>
          <w:rFonts w:ascii="Times New Roman" w:hAnsi="Times New Roman" w:cs="Times New Roman"/>
          <w:sz w:val="24"/>
          <w:szCs w:val="24"/>
        </w:rPr>
        <w:footnoteReference w:id="42"/>
      </w:r>
      <w:r w:rsidR="00D66CDF" w:rsidRPr="00403E6A">
        <w:rPr>
          <w:rFonts w:ascii="Times New Roman" w:hAnsi="Times New Roman" w:cs="Times New Roman"/>
          <w:sz w:val="24"/>
          <w:szCs w:val="24"/>
        </w:rPr>
        <w:t xml:space="preserve"> </w:t>
      </w:r>
      <w:r w:rsidR="00821D3B" w:rsidRPr="00403E6A">
        <w:rPr>
          <w:rFonts w:ascii="Times New Roman" w:hAnsi="Times New Roman" w:cs="Times New Roman"/>
          <w:sz w:val="24"/>
          <w:szCs w:val="24"/>
        </w:rPr>
        <w:t>This create</w:t>
      </w:r>
      <w:r w:rsidR="00FE04C1" w:rsidRPr="00403E6A">
        <w:rPr>
          <w:rFonts w:ascii="Times New Roman" w:hAnsi="Times New Roman" w:cs="Times New Roman"/>
          <w:sz w:val="24"/>
          <w:szCs w:val="24"/>
        </w:rPr>
        <w:t>s</w:t>
      </w:r>
      <w:r w:rsidR="00821D3B" w:rsidRPr="00403E6A">
        <w:rPr>
          <w:rFonts w:ascii="Times New Roman" w:hAnsi="Times New Roman" w:cs="Times New Roman"/>
          <w:sz w:val="24"/>
          <w:szCs w:val="24"/>
        </w:rPr>
        <w:t xml:space="preserve"> a </w:t>
      </w:r>
      <w:r w:rsidR="00FE04C1" w:rsidRPr="00403E6A">
        <w:rPr>
          <w:rFonts w:ascii="Times New Roman" w:hAnsi="Times New Roman" w:cs="Times New Roman"/>
          <w:sz w:val="24"/>
          <w:szCs w:val="24"/>
        </w:rPr>
        <w:t>scenario where providers and insurers are negotiating</w:t>
      </w:r>
      <w:r w:rsidR="00E44FE8" w:rsidRPr="00403E6A">
        <w:rPr>
          <w:rFonts w:ascii="Times New Roman" w:hAnsi="Times New Roman" w:cs="Times New Roman"/>
          <w:sz w:val="24"/>
          <w:szCs w:val="24"/>
        </w:rPr>
        <w:t xml:space="preserve"> for</w:t>
      </w:r>
      <w:r w:rsidR="00FE04C1" w:rsidRPr="00403E6A">
        <w:rPr>
          <w:rFonts w:ascii="Times New Roman" w:hAnsi="Times New Roman" w:cs="Times New Roman"/>
          <w:sz w:val="24"/>
          <w:szCs w:val="24"/>
        </w:rPr>
        <w:t xml:space="preserve"> their sustain</w:t>
      </w:r>
      <w:r w:rsidR="00227307" w:rsidRPr="00403E6A">
        <w:rPr>
          <w:rFonts w:ascii="Times New Roman" w:hAnsi="Times New Roman" w:cs="Times New Roman"/>
          <w:sz w:val="24"/>
          <w:szCs w:val="24"/>
        </w:rPr>
        <w:t>ed profitability</w:t>
      </w:r>
      <w:r w:rsidR="007D7C6D" w:rsidRPr="00403E6A">
        <w:rPr>
          <w:rFonts w:ascii="Times New Roman" w:hAnsi="Times New Roman" w:cs="Times New Roman"/>
          <w:sz w:val="24"/>
          <w:szCs w:val="24"/>
        </w:rPr>
        <w:t>, which in turn ignores beneficiaries</w:t>
      </w:r>
      <w:r w:rsidR="00283EC2" w:rsidRPr="00403E6A">
        <w:rPr>
          <w:rFonts w:ascii="Times New Roman" w:hAnsi="Times New Roman" w:cs="Times New Roman"/>
          <w:sz w:val="24"/>
          <w:szCs w:val="24"/>
        </w:rPr>
        <w:t xml:space="preserve">. </w:t>
      </w:r>
      <w:r w:rsidR="00225151" w:rsidRPr="00403E6A">
        <w:rPr>
          <w:rFonts w:ascii="Times New Roman" w:hAnsi="Times New Roman" w:cs="Times New Roman"/>
          <w:sz w:val="24"/>
          <w:szCs w:val="24"/>
        </w:rPr>
        <w:t>The ACA</w:t>
      </w:r>
      <w:r w:rsidR="00DD096D" w:rsidRPr="00403E6A">
        <w:rPr>
          <w:rFonts w:ascii="Times New Roman" w:hAnsi="Times New Roman" w:cs="Times New Roman"/>
          <w:sz w:val="24"/>
          <w:szCs w:val="24"/>
        </w:rPr>
        <w:t>’s medical-loss ratio provision</w:t>
      </w:r>
      <w:r w:rsidR="00097643" w:rsidRPr="00403E6A">
        <w:rPr>
          <w:rFonts w:ascii="Times New Roman" w:hAnsi="Times New Roman" w:cs="Times New Roman"/>
          <w:sz w:val="24"/>
          <w:szCs w:val="24"/>
        </w:rPr>
        <w:t xml:space="preserve">, which requires insurers to spend </w:t>
      </w:r>
      <w:r w:rsidR="00A3030E" w:rsidRPr="00403E6A">
        <w:rPr>
          <w:rFonts w:ascii="Times New Roman" w:hAnsi="Times New Roman" w:cs="Times New Roman"/>
          <w:sz w:val="24"/>
          <w:szCs w:val="24"/>
        </w:rPr>
        <w:t xml:space="preserve">approximately </w:t>
      </w:r>
      <w:r w:rsidR="00097643" w:rsidRPr="00403E6A">
        <w:rPr>
          <w:rFonts w:ascii="Times New Roman" w:hAnsi="Times New Roman" w:cs="Times New Roman"/>
          <w:sz w:val="24"/>
          <w:szCs w:val="24"/>
        </w:rPr>
        <w:t>80</w:t>
      </w:r>
      <w:r w:rsidR="00A3030E" w:rsidRPr="00403E6A">
        <w:rPr>
          <w:rFonts w:ascii="Times New Roman" w:hAnsi="Times New Roman" w:cs="Times New Roman"/>
          <w:sz w:val="24"/>
          <w:szCs w:val="24"/>
        </w:rPr>
        <w:t xml:space="preserve"> </w:t>
      </w:r>
      <w:r w:rsidR="00097643" w:rsidRPr="00403E6A">
        <w:rPr>
          <w:rFonts w:ascii="Times New Roman" w:hAnsi="Times New Roman" w:cs="Times New Roman"/>
          <w:sz w:val="24"/>
          <w:szCs w:val="24"/>
        </w:rPr>
        <w:t xml:space="preserve">percent of premium </w:t>
      </w:r>
      <w:r w:rsidR="00D2560D" w:rsidRPr="00403E6A">
        <w:rPr>
          <w:rFonts w:ascii="Times New Roman" w:hAnsi="Times New Roman" w:cs="Times New Roman"/>
          <w:sz w:val="24"/>
          <w:szCs w:val="24"/>
        </w:rPr>
        <w:t>dollars</w:t>
      </w:r>
      <w:r w:rsidR="00097643" w:rsidRPr="00403E6A">
        <w:rPr>
          <w:rFonts w:ascii="Times New Roman" w:hAnsi="Times New Roman" w:cs="Times New Roman"/>
          <w:sz w:val="24"/>
          <w:szCs w:val="24"/>
        </w:rPr>
        <w:t xml:space="preserve"> on medical care and </w:t>
      </w:r>
      <w:r w:rsidR="00B95734" w:rsidRPr="00403E6A">
        <w:rPr>
          <w:rFonts w:ascii="Times New Roman" w:hAnsi="Times New Roman" w:cs="Times New Roman"/>
          <w:sz w:val="24"/>
          <w:szCs w:val="24"/>
        </w:rPr>
        <w:t xml:space="preserve">health care </w:t>
      </w:r>
      <w:r w:rsidR="00097643" w:rsidRPr="00403E6A">
        <w:rPr>
          <w:rFonts w:ascii="Times New Roman" w:hAnsi="Times New Roman" w:cs="Times New Roman"/>
          <w:sz w:val="24"/>
          <w:szCs w:val="24"/>
        </w:rPr>
        <w:t>quality improvement</w:t>
      </w:r>
      <w:r w:rsidR="00B95734" w:rsidRPr="00403E6A">
        <w:rPr>
          <w:rFonts w:ascii="Times New Roman" w:hAnsi="Times New Roman" w:cs="Times New Roman"/>
          <w:sz w:val="24"/>
          <w:szCs w:val="24"/>
        </w:rPr>
        <w:t>,</w:t>
      </w:r>
      <w:r w:rsidR="00DD096D" w:rsidRPr="00403E6A">
        <w:rPr>
          <w:rFonts w:ascii="Times New Roman" w:hAnsi="Times New Roman" w:cs="Times New Roman"/>
          <w:sz w:val="24"/>
          <w:szCs w:val="24"/>
        </w:rPr>
        <w:t xml:space="preserve"> took aim at this </w:t>
      </w:r>
      <w:r w:rsidR="00D3687E" w:rsidRPr="00403E6A">
        <w:rPr>
          <w:rFonts w:ascii="Times New Roman" w:hAnsi="Times New Roman" w:cs="Times New Roman"/>
          <w:sz w:val="24"/>
          <w:szCs w:val="24"/>
        </w:rPr>
        <w:t>issue.</w:t>
      </w:r>
      <w:r w:rsidR="002D7E7B" w:rsidRPr="00403E6A">
        <w:rPr>
          <w:rStyle w:val="FootnoteReference"/>
          <w:rFonts w:ascii="Times New Roman" w:hAnsi="Times New Roman" w:cs="Times New Roman"/>
          <w:sz w:val="24"/>
          <w:szCs w:val="24"/>
        </w:rPr>
        <w:footnoteReference w:id="43"/>
      </w:r>
      <w:r w:rsidR="00225151" w:rsidRPr="00403E6A">
        <w:rPr>
          <w:rFonts w:ascii="Times New Roman" w:hAnsi="Times New Roman" w:cs="Times New Roman"/>
          <w:sz w:val="24"/>
          <w:szCs w:val="24"/>
        </w:rPr>
        <w:t xml:space="preserve"> </w:t>
      </w:r>
      <w:r w:rsidR="007D7C6D" w:rsidRPr="00403E6A">
        <w:rPr>
          <w:rFonts w:ascii="Times New Roman" w:hAnsi="Times New Roman" w:cs="Times New Roman"/>
          <w:sz w:val="24"/>
          <w:szCs w:val="24"/>
        </w:rPr>
        <w:t>A</w:t>
      </w:r>
      <w:r w:rsidR="008E19A7" w:rsidRPr="00403E6A">
        <w:rPr>
          <w:rFonts w:ascii="Times New Roman" w:hAnsi="Times New Roman" w:cs="Times New Roman"/>
          <w:sz w:val="24"/>
          <w:szCs w:val="24"/>
        </w:rPr>
        <w:t xml:space="preserve"> </w:t>
      </w:r>
      <w:r w:rsidR="00C16DA2" w:rsidRPr="00403E6A">
        <w:rPr>
          <w:rFonts w:ascii="Times New Roman" w:hAnsi="Times New Roman" w:cs="Times New Roman"/>
          <w:sz w:val="24"/>
          <w:szCs w:val="24"/>
        </w:rPr>
        <w:t xml:space="preserve">2017 </w:t>
      </w:r>
      <w:r w:rsidR="008E19A7" w:rsidRPr="00403E6A">
        <w:rPr>
          <w:rFonts w:ascii="Times New Roman" w:hAnsi="Times New Roman" w:cs="Times New Roman"/>
          <w:sz w:val="24"/>
          <w:szCs w:val="24"/>
        </w:rPr>
        <w:t>study</w:t>
      </w:r>
      <w:r w:rsidR="000B503F" w:rsidRPr="00403E6A">
        <w:rPr>
          <w:rFonts w:ascii="Times New Roman" w:hAnsi="Times New Roman" w:cs="Times New Roman"/>
          <w:sz w:val="24"/>
          <w:szCs w:val="24"/>
        </w:rPr>
        <w:t xml:space="preserve"> </w:t>
      </w:r>
      <w:r w:rsidR="00C17E81" w:rsidRPr="00403E6A">
        <w:rPr>
          <w:rFonts w:ascii="Times New Roman" w:hAnsi="Times New Roman" w:cs="Times New Roman"/>
          <w:sz w:val="24"/>
          <w:szCs w:val="24"/>
        </w:rPr>
        <w:t>that</w:t>
      </w:r>
      <w:r w:rsidR="00092ADE" w:rsidRPr="00403E6A">
        <w:rPr>
          <w:rFonts w:ascii="Times New Roman" w:hAnsi="Times New Roman" w:cs="Times New Roman"/>
          <w:sz w:val="24"/>
          <w:szCs w:val="24"/>
        </w:rPr>
        <w:t xml:space="preserve"> </w:t>
      </w:r>
      <w:r w:rsidR="000B503F" w:rsidRPr="00403E6A">
        <w:rPr>
          <w:rFonts w:ascii="Times New Roman" w:hAnsi="Times New Roman" w:cs="Times New Roman"/>
          <w:sz w:val="24"/>
          <w:szCs w:val="24"/>
        </w:rPr>
        <w:t xml:space="preserve">examined differences in </w:t>
      </w:r>
      <w:r w:rsidR="005527CA" w:rsidRPr="00403E6A">
        <w:rPr>
          <w:rFonts w:ascii="Times New Roman" w:hAnsi="Times New Roman" w:cs="Times New Roman"/>
          <w:sz w:val="24"/>
          <w:szCs w:val="24"/>
        </w:rPr>
        <w:t xml:space="preserve">negotiated </w:t>
      </w:r>
      <w:r w:rsidR="000B503F" w:rsidRPr="00403E6A">
        <w:rPr>
          <w:rFonts w:ascii="Times New Roman" w:hAnsi="Times New Roman" w:cs="Times New Roman"/>
          <w:sz w:val="24"/>
          <w:szCs w:val="24"/>
        </w:rPr>
        <w:t>rates for office-based physician services, based on differences in the ability to bargain over prices</w:t>
      </w:r>
      <w:r w:rsidR="00C17E81" w:rsidRPr="00403E6A">
        <w:rPr>
          <w:rFonts w:ascii="Times New Roman" w:hAnsi="Times New Roman" w:cs="Times New Roman"/>
          <w:sz w:val="24"/>
          <w:szCs w:val="24"/>
        </w:rPr>
        <w:t>, provide</w:t>
      </w:r>
      <w:r w:rsidR="00662353" w:rsidRPr="00403E6A">
        <w:rPr>
          <w:rFonts w:ascii="Times New Roman" w:hAnsi="Times New Roman" w:cs="Times New Roman"/>
          <w:sz w:val="24"/>
          <w:szCs w:val="24"/>
        </w:rPr>
        <w:t>s insights</w:t>
      </w:r>
      <w:r w:rsidR="005527CA" w:rsidRPr="00403E6A">
        <w:rPr>
          <w:rFonts w:ascii="Times New Roman" w:hAnsi="Times New Roman" w:cs="Times New Roman"/>
          <w:sz w:val="24"/>
          <w:szCs w:val="24"/>
        </w:rPr>
        <w:t xml:space="preserve"> into this </w:t>
      </w:r>
      <w:r w:rsidR="00F4630C" w:rsidRPr="00403E6A">
        <w:rPr>
          <w:rFonts w:ascii="Times New Roman" w:hAnsi="Times New Roman" w:cs="Times New Roman"/>
          <w:sz w:val="24"/>
          <w:szCs w:val="24"/>
        </w:rPr>
        <w:t>matter</w:t>
      </w:r>
      <w:r w:rsidR="000B503F" w:rsidRPr="00403E6A">
        <w:rPr>
          <w:rFonts w:ascii="Times New Roman" w:hAnsi="Times New Roman" w:cs="Times New Roman"/>
          <w:sz w:val="24"/>
          <w:szCs w:val="24"/>
        </w:rPr>
        <w:t>.</w:t>
      </w:r>
      <w:r w:rsidR="00D72E00" w:rsidRPr="00403E6A">
        <w:rPr>
          <w:rStyle w:val="FootnoteReference"/>
          <w:rFonts w:ascii="Times New Roman" w:hAnsi="Times New Roman" w:cs="Times New Roman"/>
          <w:sz w:val="24"/>
          <w:szCs w:val="24"/>
        </w:rPr>
        <w:footnoteReference w:id="44"/>
      </w:r>
      <w:r w:rsidR="00C16DA2" w:rsidRPr="00403E6A">
        <w:rPr>
          <w:rFonts w:ascii="Times New Roman" w:hAnsi="Times New Roman" w:cs="Times New Roman"/>
          <w:sz w:val="24"/>
          <w:szCs w:val="24"/>
        </w:rPr>
        <w:t xml:space="preserve"> </w:t>
      </w:r>
    </w:p>
    <w:p w14:paraId="019707F6" w14:textId="3B25D50F" w:rsidR="00AD57A1" w:rsidRPr="00403E6A" w:rsidRDefault="00535491" w:rsidP="00292001">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r>
      <w:r w:rsidR="00B94A41" w:rsidRPr="00403E6A">
        <w:rPr>
          <w:rFonts w:ascii="Times New Roman" w:hAnsi="Times New Roman" w:cs="Times New Roman"/>
          <w:sz w:val="24"/>
          <w:szCs w:val="24"/>
        </w:rPr>
        <w:t xml:space="preserve">The study </w:t>
      </w:r>
      <w:r w:rsidR="00A70A54" w:rsidRPr="00403E6A">
        <w:rPr>
          <w:rFonts w:ascii="Times New Roman" w:hAnsi="Times New Roman" w:cs="Times New Roman"/>
          <w:sz w:val="24"/>
          <w:szCs w:val="24"/>
        </w:rPr>
        <w:t>found</w:t>
      </w:r>
      <w:r w:rsidR="002A601B" w:rsidRPr="00403E6A">
        <w:rPr>
          <w:rFonts w:ascii="Times New Roman" w:hAnsi="Times New Roman" w:cs="Times New Roman"/>
          <w:sz w:val="24"/>
          <w:szCs w:val="24"/>
        </w:rPr>
        <w:t xml:space="preserve"> that differences in providers’ and insurers’ bargaining power are a </w:t>
      </w:r>
      <w:r w:rsidR="008617E8" w:rsidRPr="00403E6A">
        <w:rPr>
          <w:rFonts w:ascii="Times New Roman" w:hAnsi="Times New Roman" w:cs="Times New Roman"/>
          <w:sz w:val="24"/>
          <w:szCs w:val="24"/>
        </w:rPr>
        <w:t xml:space="preserve">distinct </w:t>
      </w:r>
      <w:r w:rsidR="002A601B" w:rsidRPr="00403E6A">
        <w:rPr>
          <w:rFonts w:ascii="Times New Roman" w:hAnsi="Times New Roman" w:cs="Times New Roman"/>
          <w:sz w:val="24"/>
          <w:szCs w:val="24"/>
        </w:rPr>
        <w:t>contributor to variation in commercial health care prices</w:t>
      </w:r>
      <w:r w:rsidR="00905BC6" w:rsidRPr="00403E6A">
        <w:rPr>
          <w:rFonts w:ascii="Times New Roman" w:hAnsi="Times New Roman" w:cs="Times New Roman"/>
          <w:sz w:val="24"/>
          <w:szCs w:val="24"/>
        </w:rPr>
        <w:t>.</w:t>
      </w:r>
      <w:r w:rsidR="001323CC" w:rsidRPr="00403E6A">
        <w:rPr>
          <w:rStyle w:val="FootnoteReference"/>
          <w:rFonts w:ascii="Times New Roman" w:hAnsi="Times New Roman" w:cs="Times New Roman"/>
          <w:sz w:val="24"/>
          <w:szCs w:val="24"/>
        </w:rPr>
        <w:footnoteReference w:id="45"/>
      </w:r>
      <w:r w:rsidR="001323CC" w:rsidRPr="00403E6A">
        <w:rPr>
          <w:rFonts w:ascii="Times New Roman" w:hAnsi="Times New Roman" w:cs="Times New Roman"/>
          <w:sz w:val="24"/>
          <w:szCs w:val="24"/>
        </w:rPr>
        <w:t xml:space="preserve"> </w:t>
      </w:r>
      <w:r w:rsidRPr="00403E6A">
        <w:rPr>
          <w:rFonts w:ascii="Times New Roman" w:hAnsi="Times New Roman" w:cs="Times New Roman"/>
          <w:sz w:val="24"/>
          <w:szCs w:val="24"/>
        </w:rPr>
        <w:t xml:space="preserve">“We estimated that—within the same provider groups—insurers with market shares of 15 percent or more </w:t>
      </w:r>
      <w:r w:rsidR="002930D5" w:rsidRPr="00403E6A">
        <w:rPr>
          <w:rFonts w:ascii="Times New Roman" w:hAnsi="Times New Roman" w:cs="Times New Roman"/>
          <w:sz w:val="24"/>
          <w:szCs w:val="24"/>
        </w:rPr>
        <w:t xml:space="preserve">… </w:t>
      </w:r>
      <w:r w:rsidRPr="00403E6A">
        <w:rPr>
          <w:rFonts w:ascii="Times New Roman" w:hAnsi="Times New Roman" w:cs="Times New Roman"/>
          <w:sz w:val="24"/>
          <w:szCs w:val="24"/>
        </w:rPr>
        <w:t xml:space="preserve"> negotiated prices for office visits that were 21 percent lower than prices negotiated by insurers with shares of less than 5 percent.</w:t>
      </w:r>
      <w:r w:rsidR="00ED5371" w:rsidRPr="00403E6A">
        <w:rPr>
          <w:rFonts w:ascii="Times New Roman" w:hAnsi="Times New Roman" w:cs="Times New Roman"/>
          <w:sz w:val="24"/>
          <w:szCs w:val="24"/>
        </w:rPr>
        <w:t>”</w:t>
      </w:r>
      <w:r w:rsidR="00A035B8" w:rsidRPr="00403E6A">
        <w:rPr>
          <w:rStyle w:val="FootnoteReference"/>
          <w:rFonts w:ascii="Times New Roman" w:hAnsi="Times New Roman" w:cs="Times New Roman"/>
          <w:sz w:val="24"/>
          <w:szCs w:val="24"/>
        </w:rPr>
        <w:footnoteReference w:id="46"/>
      </w:r>
      <w:r w:rsidR="00ED5371" w:rsidRPr="00403E6A">
        <w:rPr>
          <w:rFonts w:ascii="Times New Roman" w:hAnsi="Times New Roman" w:cs="Times New Roman"/>
          <w:sz w:val="24"/>
          <w:szCs w:val="24"/>
        </w:rPr>
        <w:t xml:space="preserve"> </w:t>
      </w:r>
      <w:r w:rsidR="00CA5FBF" w:rsidRPr="00403E6A">
        <w:rPr>
          <w:rFonts w:ascii="Times New Roman" w:hAnsi="Times New Roman" w:cs="Times New Roman"/>
          <w:sz w:val="24"/>
          <w:szCs w:val="24"/>
        </w:rPr>
        <w:t>Additionally</w:t>
      </w:r>
      <w:r w:rsidR="00735699" w:rsidRPr="00403E6A">
        <w:rPr>
          <w:rFonts w:ascii="Times New Roman" w:hAnsi="Times New Roman" w:cs="Times New Roman"/>
          <w:sz w:val="24"/>
          <w:szCs w:val="24"/>
        </w:rPr>
        <w:t>, a</w:t>
      </w:r>
      <w:r w:rsidR="00626560" w:rsidRPr="00403E6A">
        <w:rPr>
          <w:rFonts w:ascii="Times New Roman" w:hAnsi="Times New Roman" w:cs="Times New Roman"/>
          <w:sz w:val="24"/>
          <w:szCs w:val="24"/>
        </w:rPr>
        <w:t xml:space="preserve">nalyses of </w:t>
      </w:r>
      <w:r w:rsidR="006031CE" w:rsidRPr="00403E6A">
        <w:rPr>
          <w:rFonts w:ascii="Times New Roman" w:hAnsi="Times New Roman" w:cs="Times New Roman"/>
          <w:sz w:val="24"/>
          <w:szCs w:val="24"/>
        </w:rPr>
        <w:t>provider network market share suggested that insurers require greater market shares to negotiate lower prices from large provider groups than they do when negotiating with smaller provider groups</w:t>
      </w:r>
      <w:r w:rsidR="00BD08BD" w:rsidRPr="00403E6A">
        <w:rPr>
          <w:rFonts w:ascii="Times New Roman" w:hAnsi="Times New Roman" w:cs="Times New Roman"/>
          <w:sz w:val="24"/>
          <w:szCs w:val="24"/>
        </w:rPr>
        <w:t>:</w:t>
      </w:r>
      <w:r w:rsidR="00CA5FBF" w:rsidRPr="00403E6A">
        <w:rPr>
          <w:rFonts w:ascii="Times New Roman" w:hAnsi="Times New Roman" w:cs="Times New Roman"/>
          <w:sz w:val="24"/>
          <w:szCs w:val="24"/>
        </w:rPr>
        <w:t xml:space="preserve"> </w:t>
      </w:r>
      <w:r w:rsidR="00B11182" w:rsidRPr="00403E6A">
        <w:rPr>
          <w:rFonts w:ascii="Times New Roman" w:hAnsi="Times New Roman" w:cs="Times New Roman"/>
          <w:sz w:val="24"/>
          <w:szCs w:val="24"/>
        </w:rPr>
        <w:t xml:space="preserve">“Office visit prices for small practices were $88, $72, and $70, for insurers with market shares of &lt;5 percent, ≥5 to &lt;15 percent, and </w:t>
      </w:r>
      <w:r w:rsidR="00B11182" w:rsidRPr="00403E6A">
        <w:rPr>
          <w:rFonts w:ascii="Times New Roman" w:hAnsi="Times New Roman" w:cs="Times New Roman"/>
          <w:sz w:val="24"/>
          <w:szCs w:val="24"/>
        </w:rPr>
        <w:lastRenderedPageBreak/>
        <w:t>≥15 percent, respectively, whereas prices for large provider groups were $97, $86, and $76, exhibiting a continued decrease across higher insurer-market-share categories.”</w:t>
      </w:r>
      <w:r w:rsidR="00BD08BD" w:rsidRPr="00403E6A">
        <w:rPr>
          <w:rStyle w:val="FootnoteReference"/>
          <w:rFonts w:ascii="Times New Roman" w:hAnsi="Times New Roman" w:cs="Times New Roman"/>
          <w:sz w:val="24"/>
          <w:szCs w:val="24"/>
        </w:rPr>
        <w:footnoteReference w:id="47"/>
      </w:r>
      <w:r w:rsidR="00B11182" w:rsidRPr="00403E6A">
        <w:rPr>
          <w:rFonts w:ascii="Times New Roman" w:hAnsi="Times New Roman" w:cs="Times New Roman"/>
          <w:sz w:val="24"/>
          <w:szCs w:val="24"/>
        </w:rPr>
        <w:t xml:space="preserve"> </w:t>
      </w:r>
    </w:p>
    <w:p w14:paraId="2CB1F72B" w14:textId="06ACA107" w:rsidR="00B45050" w:rsidRPr="00403E6A" w:rsidRDefault="00B675C6" w:rsidP="00B45050">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t xml:space="preserve">Although </w:t>
      </w:r>
      <w:r w:rsidR="00532AC2" w:rsidRPr="00403E6A">
        <w:rPr>
          <w:rFonts w:ascii="Times New Roman" w:hAnsi="Times New Roman" w:cs="Times New Roman"/>
          <w:sz w:val="24"/>
          <w:szCs w:val="24"/>
        </w:rPr>
        <w:t xml:space="preserve">insurers with large market shares can </w:t>
      </w:r>
      <w:r w:rsidR="009D5942" w:rsidRPr="00403E6A">
        <w:rPr>
          <w:rFonts w:ascii="Times New Roman" w:hAnsi="Times New Roman" w:cs="Times New Roman"/>
          <w:sz w:val="24"/>
          <w:szCs w:val="24"/>
        </w:rPr>
        <w:t>negotiate lower prices, t</w:t>
      </w:r>
      <w:r w:rsidRPr="00403E6A">
        <w:rPr>
          <w:rFonts w:ascii="Times New Roman" w:hAnsi="Times New Roman" w:cs="Times New Roman"/>
          <w:sz w:val="24"/>
          <w:szCs w:val="24"/>
        </w:rPr>
        <w:t xml:space="preserve">he authors of the study suggest </w:t>
      </w:r>
      <w:r w:rsidR="009D5942" w:rsidRPr="00403E6A">
        <w:rPr>
          <w:rFonts w:ascii="Times New Roman" w:hAnsi="Times New Roman" w:cs="Times New Roman"/>
          <w:sz w:val="24"/>
          <w:szCs w:val="24"/>
        </w:rPr>
        <w:t xml:space="preserve">that greater consolidation of the commercial health insurance </w:t>
      </w:r>
      <w:r w:rsidR="0007132D" w:rsidRPr="00403E6A">
        <w:rPr>
          <w:rFonts w:ascii="Times New Roman" w:hAnsi="Times New Roman" w:cs="Times New Roman"/>
          <w:sz w:val="24"/>
          <w:szCs w:val="24"/>
        </w:rPr>
        <w:t>marketplace is not necessarily the solution.</w:t>
      </w:r>
      <w:r w:rsidR="00844A74" w:rsidRPr="00403E6A">
        <w:rPr>
          <w:rStyle w:val="FootnoteReference"/>
          <w:rFonts w:ascii="Times New Roman" w:hAnsi="Times New Roman" w:cs="Times New Roman"/>
          <w:sz w:val="24"/>
          <w:szCs w:val="24"/>
        </w:rPr>
        <w:footnoteReference w:id="48"/>
      </w:r>
      <w:r w:rsidR="0007132D" w:rsidRPr="00403E6A">
        <w:rPr>
          <w:rFonts w:ascii="Times New Roman" w:hAnsi="Times New Roman" w:cs="Times New Roman"/>
          <w:sz w:val="24"/>
          <w:szCs w:val="24"/>
        </w:rPr>
        <w:t xml:space="preserve"> </w:t>
      </w:r>
      <w:r w:rsidR="001B3998" w:rsidRPr="00403E6A">
        <w:rPr>
          <w:rFonts w:ascii="Times New Roman" w:hAnsi="Times New Roman" w:cs="Times New Roman"/>
          <w:sz w:val="24"/>
          <w:szCs w:val="24"/>
        </w:rPr>
        <w:t>The study suggests, as this paper will</w:t>
      </w:r>
      <w:r w:rsidR="005954AD" w:rsidRPr="00403E6A">
        <w:rPr>
          <w:rFonts w:ascii="Times New Roman" w:hAnsi="Times New Roman" w:cs="Times New Roman"/>
          <w:sz w:val="24"/>
          <w:szCs w:val="24"/>
        </w:rPr>
        <w:t xml:space="preserve"> argue</w:t>
      </w:r>
      <w:r w:rsidR="001B3998" w:rsidRPr="00403E6A">
        <w:rPr>
          <w:rFonts w:ascii="Times New Roman" w:hAnsi="Times New Roman" w:cs="Times New Roman"/>
          <w:sz w:val="24"/>
          <w:szCs w:val="24"/>
        </w:rPr>
        <w:t xml:space="preserve">, that </w:t>
      </w:r>
      <w:r w:rsidR="005A2295" w:rsidRPr="00403E6A">
        <w:rPr>
          <w:rFonts w:ascii="Times New Roman" w:hAnsi="Times New Roman" w:cs="Times New Roman"/>
          <w:sz w:val="24"/>
          <w:szCs w:val="24"/>
        </w:rPr>
        <w:t xml:space="preserve">enhanced </w:t>
      </w:r>
      <w:r w:rsidR="00724975" w:rsidRPr="00403E6A">
        <w:rPr>
          <w:rFonts w:ascii="Times New Roman" w:hAnsi="Times New Roman" w:cs="Times New Roman"/>
          <w:sz w:val="24"/>
          <w:szCs w:val="24"/>
        </w:rPr>
        <w:t xml:space="preserve">antitrust enforcement into </w:t>
      </w:r>
      <w:r w:rsidR="00422EE3" w:rsidRPr="00403E6A">
        <w:rPr>
          <w:rFonts w:ascii="Times New Roman" w:hAnsi="Times New Roman" w:cs="Times New Roman"/>
          <w:sz w:val="24"/>
          <w:szCs w:val="24"/>
        </w:rPr>
        <w:t xml:space="preserve">heavily concentrated </w:t>
      </w:r>
      <w:r w:rsidR="00724975" w:rsidRPr="00403E6A">
        <w:rPr>
          <w:rFonts w:ascii="Times New Roman" w:hAnsi="Times New Roman" w:cs="Times New Roman"/>
          <w:sz w:val="24"/>
          <w:szCs w:val="24"/>
        </w:rPr>
        <w:t xml:space="preserve">providers and insurers </w:t>
      </w:r>
      <w:r w:rsidR="00BA13A0" w:rsidRPr="00403E6A">
        <w:rPr>
          <w:rFonts w:ascii="Times New Roman" w:hAnsi="Times New Roman" w:cs="Times New Roman"/>
          <w:sz w:val="24"/>
          <w:szCs w:val="24"/>
        </w:rPr>
        <w:t xml:space="preserve">is </w:t>
      </w:r>
      <w:r w:rsidR="009E76E0" w:rsidRPr="00403E6A">
        <w:rPr>
          <w:rFonts w:ascii="Times New Roman" w:hAnsi="Times New Roman" w:cs="Times New Roman"/>
          <w:sz w:val="24"/>
          <w:szCs w:val="24"/>
        </w:rPr>
        <w:t xml:space="preserve">a </w:t>
      </w:r>
      <w:r w:rsidR="00BA13A0" w:rsidRPr="00403E6A">
        <w:rPr>
          <w:rFonts w:ascii="Times New Roman" w:hAnsi="Times New Roman" w:cs="Times New Roman"/>
          <w:sz w:val="24"/>
          <w:szCs w:val="24"/>
        </w:rPr>
        <w:t>necessar</w:t>
      </w:r>
      <w:r w:rsidR="009E76E0" w:rsidRPr="00403E6A">
        <w:rPr>
          <w:rFonts w:ascii="Times New Roman" w:hAnsi="Times New Roman" w:cs="Times New Roman"/>
          <w:sz w:val="24"/>
          <w:szCs w:val="24"/>
        </w:rPr>
        <w:t>y remedy</w:t>
      </w:r>
      <w:r w:rsidR="00BA13A0" w:rsidRPr="00403E6A">
        <w:rPr>
          <w:rFonts w:ascii="Times New Roman" w:hAnsi="Times New Roman" w:cs="Times New Roman"/>
          <w:sz w:val="24"/>
          <w:szCs w:val="24"/>
        </w:rPr>
        <w:t>.</w:t>
      </w:r>
      <w:r w:rsidR="00724975" w:rsidRPr="00403E6A">
        <w:rPr>
          <w:rFonts w:ascii="Times New Roman" w:hAnsi="Times New Roman" w:cs="Times New Roman"/>
          <w:sz w:val="24"/>
          <w:szCs w:val="24"/>
        </w:rPr>
        <w:t xml:space="preserve"> </w:t>
      </w:r>
      <w:r w:rsidR="004A2443" w:rsidRPr="00403E6A">
        <w:rPr>
          <w:rFonts w:ascii="Times New Roman" w:hAnsi="Times New Roman" w:cs="Times New Roman"/>
          <w:sz w:val="24"/>
          <w:szCs w:val="24"/>
        </w:rPr>
        <w:t xml:space="preserve">Most notably, the authors </w:t>
      </w:r>
      <w:r w:rsidR="008E418D" w:rsidRPr="00403E6A">
        <w:rPr>
          <w:rFonts w:ascii="Times New Roman" w:hAnsi="Times New Roman" w:cs="Times New Roman"/>
          <w:sz w:val="24"/>
          <w:szCs w:val="24"/>
        </w:rPr>
        <w:t>are uncertain</w:t>
      </w:r>
      <w:r w:rsidR="00964931" w:rsidRPr="00403E6A">
        <w:rPr>
          <w:rFonts w:ascii="Times New Roman" w:hAnsi="Times New Roman" w:cs="Times New Roman"/>
          <w:sz w:val="24"/>
          <w:szCs w:val="24"/>
        </w:rPr>
        <w:t xml:space="preserve"> as to whether </w:t>
      </w:r>
      <w:r w:rsidR="0031764D" w:rsidRPr="00403E6A">
        <w:rPr>
          <w:rFonts w:ascii="Times New Roman" w:hAnsi="Times New Roman" w:cs="Times New Roman"/>
          <w:sz w:val="24"/>
          <w:szCs w:val="24"/>
        </w:rPr>
        <w:t>customers</w:t>
      </w:r>
      <w:r w:rsidR="00964931" w:rsidRPr="00403E6A">
        <w:rPr>
          <w:rFonts w:ascii="Times New Roman" w:hAnsi="Times New Roman" w:cs="Times New Roman"/>
          <w:sz w:val="24"/>
          <w:szCs w:val="24"/>
        </w:rPr>
        <w:t xml:space="preserve"> </w:t>
      </w:r>
      <w:r w:rsidR="008C187F" w:rsidRPr="00403E6A">
        <w:rPr>
          <w:rFonts w:ascii="Times New Roman" w:hAnsi="Times New Roman" w:cs="Times New Roman"/>
          <w:sz w:val="24"/>
          <w:szCs w:val="24"/>
        </w:rPr>
        <w:t xml:space="preserve">of larger insurers </w:t>
      </w:r>
      <w:r w:rsidR="00964931" w:rsidRPr="00403E6A">
        <w:rPr>
          <w:rFonts w:ascii="Times New Roman" w:hAnsi="Times New Roman" w:cs="Times New Roman"/>
          <w:sz w:val="24"/>
          <w:szCs w:val="24"/>
        </w:rPr>
        <w:t xml:space="preserve">are </w:t>
      </w:r>
      <w:r w:rsidR="0031764D" w:rsidRPr="00403E6A">
        <w:rPr>
          <w:rFonts w:ascii="Times New Roman" w:hAnsi="Times New Roman" w:cs="Times New Roman"/>
          <w:sz w:val="24"/>
          <w:szCs w:val="24"/>
        </w:rPr>
        <w:t>realizing</w:t>
      </w:r>
      <w:r w:rsidR="00964931" w:rsidRPr="00403E6A">
        <w:rPr>
          <w:rFonts w:ascii="Times New Roman" w:hAnsi="Times New Roman" w:cs="Times New Roman"/>
          <w:sz w:val="24"/>
          <w:szCs w:val="24"/>
        </w:rPr>
        <w:t xml:space="preserve"> the </w:t>
      </w:r>
      <w:r w:rsidR="0031764D" w:rsidRPr="00403E6A">
        <w:rPr>
          <w:rFonts w:ascii="Times New Roman" w:hAnsi="Times New Roman" w:cs="Times New Roman"/>
          <w:sz w:val="24"/>
          <w:szCs w:val="24"/>
        </w:rPr>
        <w:t xml:space="preserve">benefits of </w:t>
      </w:r>
      <w:r w:rsidR="00E7225B" w:rsidRPr="00403E6A">
        <w:rPr>
          <w:rFonts w:ascii="Times New Roman" w:hAnsi="Times New Roman" w:cs="Times New Roman"/>
          <w:sz w:val="24"/>
          <w:szCs w:val="24"/>
        </w:rPr>
        <w:t>these insurers’ ability to negotiate prices.</w:t>
      </w:r>
      <w:r w:rsidR="006B7E76" w:rsidRPr="00403E6A">
        <w:rPr>
          <w:rStyle w:val="FootnoteReference"/>
          <w:rFonts w:ascii="Times New Roman" w:hAnsi="Times New Roman" w:cs="Times New Roman"/>
          <w:sz w:val="24"/>
          <w:szCs w:val="24"/>
        </w:rPr>
        <w:footnoteReference w:id="49"/>
      </w:r>
      <w:r w:rsidR="00E7225B" w:rsidRPr="00403E6A">
        <w:rPr>
          <w:rFonts w:ascii="Times New Roman" w:hAnsi="Times New Roman" w:cs="Times New Roman"/>
          <w:sz w:val="24"/>
          <w:szCs w:val="24"/>
        </w:rPr>
        <w:t xml:space="preserve"> </w:t>
      </w:r>
      <w:r w:rsidR="00CA5614" w:rsidRPr="00403E6A">
        <w:rPr>
          <w:rFonts w:ascii="Times New Roman" w:hAnsi="Times New Roman" w:cs="Times New Roman"/>
          <w:sz w:val="24"/>
          <w:szCs w:val="24"/>
        </w:rPr>
        <w:t xml:space="preserve">According to the authors of the study, more </w:t>
      </w:r>
      <w:r w:rsidR="00E237EE" w:rsidRPr="00403E6A">
        <w:rPr>
          <w:rFonts w:ascii="Times New Roman" w:hAnsi="Times New Roman" w:cs="Times New Roman"/>
          <w:sz w:val="24"/>
          <w:szCs w:val="24"/>
        </w:rPr>
        <w:t xml:space="preserve">time, </w:t>
      </w:r>
      <w:r w:rsidR="00CA5614" w:rsidRPr="00403E6A">
        <w:rPr>
          <w:rFonts w:ascii="Times New Roman" w:hAnsi="Times New Roman" w:cs="Times New Roman"/>
          <w:sz w:val="24"/>
          <w:szCs w:val="24"/>
        </w:rPr>
        <w:t>data</w:t>
      </w:r>
      <w:r w:rsidR="00E237EE" w:rsidRPr="00403E6A">
        <w:rPr>
          <w:rFonts w:ascii="Times New Roman" w:hAnsi="Times New Roman" w:cs="Times New Roman"/>
          <w:sz w:val="24"/>
          <w:szCs w:val="24"/>
        </w:rPr>
        <w:t>,</w:t>
      </w:r>
      <w:r w:rsidR="00CA5614" w:rsidRPr="00403E6A">
        <w:rPr>
          <w:rFonts w:ascii="Times New Roman" w:hAnsi="Times New Roman" w:cs="Times New Roman"/>
          <w:sz w:val="24"/>
          <w:szCs w:val="24"/>
        </w:rPr>
        <w:t xml:space="preserve"> and research </w:t>
      </w:r>
      <w:r w:rsidR="00E237EE" w:rsidRPr="00403E6A">
        <w:rPr>
          <w:rFonts w:ascii="Times New Roman" w:hAnsi="Times New Roman" w:cs="Times New Roman"/>
          <w:sz w:val="24"/>
          <w:szCs w:val="24"/>
        </w:rPr>
        <w:t xml:space="preserve">are needed to properly ascertain the </w:t>
      </w:r>
      <w:r w:rsidR="000733DB" w:rsidRPr="00403E6A">
        <w:rPr>
          <w:rFonts w:ascii="Times New Roman" w:hAnsi="Times New Roman" w:cs="Times New Roman"/>
          <w:sz w:val="24"/>
          <w:szCs w:val="24"/>
        </w:rPr>
        <w:t xml:space="preserve">effectiveness of the </w:t>
      </w:r>
      <w:r w:rsidR="00A6173B" w:rsidRPr="00403E6A">
        <w:rPr>
          <w:rFonts w:ascii="Times New Roman" w:hAnsi="Times New Roman" w:cs="Times New Roman"/>
          <w:sz w:val="24"/>
          <w:szCs w:val="24"/>
        </w:rPr>
        <w:t xml:space="preserve">ACA’s </w:t>
      </w:r>
      <w:r w:rsidR="000733DB" w:rsidRPr="00403E6A">
        <w:rPr>
          <w:rFonts w:ascii="Times New Roman" w:hAnsi="Times New Roman" w:cs="Times New Roman"/>
          <w:sz w:val="24"/>
          <w:szCs w:val="24"/>
        </w:rPr>
        <w:t xml:space="preserve">medical-loss ratio </w:t>
      </w:r>
      <w:r w:rsidR="00A6173B" w:rsidRPr="00403E6A">
        <w:rPr>
          <w:rFonts w:ascii="Times New Roman" w:hAnsi="Times New Roman" w:cs="Times New Roman"/>
          <w:sz w:val="24"/>
          <w:szCs w:val="24"/>
        </w:rPr>
        <w:t>provision</w:t>
      </w:r>
      <w:r w:rsidR="00B016FF" w:rsidRPr="00403E6A">
        <w:rPr>
          <w:rFonts w:ascii="Times New Roman" w:hAnsi="Times New Roman" w:cs="Times New Roman"/>
          <w:sz w:val="24"/>
          <w:szCs w:val="24"/>
        </w:rPr>
        <w:t xml:space="preserve">. </w:t>
      </w:r>
      <w:r w:rsidR="009D7B5A" w:rsidRPr="00403E6A">
        <w:rPr>
          <w:rStyle w:val="FootnoteReference"/>
          <w:rFonts w:ascii="Times New Roman" w:hAnsi="Times New Roman" w:cs="Times New Roman"/>
          <w:sz w:val="24"/>
          <w:szCs w:val="24"/>
        </w:rPr>
        <w:footnoteReference w:id="50"/>
      </w:r>
    </w:p>
    <w:p w14:paraId="5B46057B" w14:textId="2CF4B46C" w:rsidR="00FC1BB2" w:rsidRPr="00403E6A" w:rsidRDefault="003D6334" w:rsidP="00B45050">
      <w:pPr>
        <w:pStyle w:val="ListParagraph"/>
        <w:numPr>
          <w:ilvl w:val="0"/>
          <w:numId w:val="5"/>
        </w:numPr>
        <w:spacing w:after="0" w:line="480" w:lineRule="auto"/>
        <w:rPr>
          <w:rFonts w:ascii="Times New Roman" w:hAnsi="Times New Roman" w:cs="Times New Roman"/>
          <w:sz w:val="24"/>
          <w:szCs w:val="24"/>
        </w:rPr>
      </w:pPr>
      <w:r w:rsidRPr="00403E6A">
        <w:rPr>
          <w:rFonts w:ascii="Times New Roman" w:hAnsi="Times New Roman" w:cs="Times New Roman"/>
          <w:sz w:val="24"/>
          <w:szCs w:val="24"/>
          <w:u w:val="single"/>
        </w:rPr>
        <w:t xml:space="preserve">Integration </w:t>
      </w:r>
      <w:r w:rsidR="00872BAE" w:rsidRPr="00403E6A">
        <w:rPr>
          <w:rFonts w:ascii="Times New Roman" w:hAnsi="Times New Roman" w:cs="Times New Roman"/>
          <w:sz w:val="24"/>
          <w:szCs w:val="24"/>
          <w:u w:val="single"/>
        </w:rPr>
        <w:t>in Name, Consolidation in Practice</w:t>
      </w:r>
    </w:p>
    <w:p w14:paraId="0421E5C2" w14:textId="2A07F0DC" w:rsidR="00B67938" w:rsidRPr="00403E6A" w:rsidRDefault="00FC1BB2" w:rsidP="00B67938">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r>
      <w:r w:rsidR="00944396" w:rsidRPr="00403E6A">
        <w:rPr>
          <w:rFonts w:ascii="Times New Roman" w:hAnsi="Times New Roman" w:cs="Times New Roman"/>
          <w:sz w:val="24"/>
          <w:szCs w:val="24"/>
        </w:rPr>
        <w:t xml:space="preserve">Before the </w:t>
      </w:r>
      <w:r w:rsidR="00F42799" w:rsidRPr="00403E6A">
        <w:rPr>
          <w:rFonts w:ascii="Times New Roman" w:hAnsi="Times New Roman" w:cs="Times New Roman"/>
          <w:sz w:val="24"/>
          <w:szCs w:val="24"/>
        </w:rPr>
        <w:t>1990</w:t>
      </w:r>
      <w:r w:rsidR="00944396" w:rsidRPr="00403E6A">
        <w:rPr>
          <w:rFonts w:ascii="Times New Roman" w:hAnsi="Times New Roman" w:cs="Times New Roman"/>
          <w:sz w:val="24"/>
          <w:szCs w:val="24"/>
        </w:rPr>
        <w:t>s</w:t>
      </w:r>
      <w:r w:rsidR="00EF617C" w:rsidRPr="00403E6A">
        <w:rPr>
          <w:rFonts w:ascii="Times New Roman" w:hAnsi="Times New Roman" w:cs="Times New Roman"/>
          <w:sz w:val="24"/>
          <w:szCs w:val="24"/>
        </w:rPr>
        <w:t xml:space="preserve">, </w:t>
      </w:r>
      <w:r w:rsidR="001F0FE8" w:rsidRPr="00403E6A">
        <w:rPr>
          <w:rFonts w:ascii="Times New Roman" w:hAnsi="Times New Roman" w:cs="Times New Roman"/>
          <w:sz w:val="24"/>
          <w:szCs w:val="24"/>
        </w:rPr>
        <w:t>the U.S.</w:t>
      </w:r>
      <w:r w:rsidR="00EF617C" w:rsidRPr="00403E6A">
        <w:rPr>
          <w:rFonts w:ascii="Times New Roman" w:hAnsi="Times New Roman" w:cs="Times New Roman"/>
          <w:sz w:val="24"/>
          <w:szCs w:val="24"/>
        </w:rPr>
        <w:t xml:space="preserve"> health care and insurance system ha</w:t>
      </w:r>
      <w:r w:rsidR="001F0FE8" w:rsidRPr="00403E6A">
        <w:rPr>
          <w:rFonts w:ascii="Times New Roman" w:hAnsi="Times New Roman" w:cs="Times New Roman"/>
          <w:sz w:val="24"/>
          <w:szCs w:val="24"/>
        </w:rPr>
        <w:t>d</w:t>
      </w:r>
      <w:r w:rsidR="00EF617C" w:rsidRPr="00403E6A">
        <w:rPr>
          <w:rFonts w:ascii="Times New Roman" w:hAnsi="Times New Roman" w:cs="Times New Roman"/>
          <w:sz w:val="24"/>
          <w:szCs w:val="24"/>
        </w:rPr>
        <w:t xml:space="preserve"> pursued policies </w:t>
      </w:r>
      <w:r w:rsidR="000E3717" w:rsidRPr="00403E6A">
        <w:rPr>
          <w:rFonts w:ascii="Times New Roman" w:hAnsi="Times New Roman" w:cs="Times New Roman"/>
          <w:sz w:val="24"/>
          <w:szCs w:val="24"/>
        </w:rPr>
        <w:t xml:space="preserve">and </w:t>
      </w:r>
      <w:r w:rsidR="005827E5" w:rsidRPr="00403E6A">
        <w:rPr>
          <w:rFonts w:ascii="Times New Roman" w:hAnsi="Times New Roman" w:cs="Times New Roman"/>
          <w:sz w:val="24"/>
          <w:szCs w:val="24"/>
        </w:rPr>
        <w:t xml:space="preserve">market </w:t>
      </w:r>
      <w:r w:rsidR="000E3717" w:rsidRPr="00403E6A">
        <w:rPr>
          <w:rFonts w:ascii="Times New Roman" w:hAnsi="Times New Roman" w:cs="Times New Roman"/>
          <w:sz w:val="24"/>
          <w:szCs w:val="24"/>
        </w:rPr>
        <w:t xml:space="preserve">concepts </w:t>
      </w:r>
      <w:r w:rsidR="0070424A" w:rsidRPr="00403E6A">
        <w:rPr>
          <w:rFonts w:ascii="Times New Roman" w:hAnsi="Times New Roman" w:cs="Times New Roman"/>
          <w:sz w:val="24"/>
          <w:szCs w:val="24"/>
        </w:rPr>
        <w:t xml:space="preserve">of what is referred to as </w:t>
      </w:r>
      <w:r w:rsidR="00AE1AFB" w:rsidRPr="00403E6A">
        <w:rPr>
          <w:rFonts w:ascii="Times New Roman" w:hAnsi="Times New Roman" w:cs="Times New Roman"/>
          <w:sz w:val="24"/>
          <w:szCs w:val="24"/>
        </w:rPr>
        <w:t>horizontal integration.</w:t>
      </w:r>
      <w:r w:rsidR="00944396" w:rsidRPr="00403E6A">
        <w:rPr>
          <w:rFonts w:ascii="Times New Roman" w:hAnsi="Times New Roman" w:cs="Times New Roman"/>
          <w:sz w:val="24"/>
          <w:szCs w:val="24"/>
        </w:rPr>
        <w:t xml:space="preserve"> Horizontal integration is </w:t>
      </w:r>
      <w:r w:rsidR="00F95495" w:rsidRPr="00403E6A">
        <w:rPr>
          <w:rFonts w:ascii="Times New Roman" w:hAnsi="Times New Roman" w:cs="Times New Roman"/>
          <w:sz w:val="24"/>
          <w:szCs w:val="24"/>
        </w:rPr>
        <w:t xml:space="preserve">the concept of </w:t>
      </w:r>
      <w:r w:rsidR="00944396" w:rsidRPr="00403E6A">
        <w:rPr>
          <w:rFonts w:ascii="Times New Roman" w:hAnsi="Times New Roman" w:cs="Times New Roman"/>
          <w:sz w:val="24"/>
          <w:szCs w:val="24"/>
        </w:rPr>
        <w:t>organizations acquir</w:t>
      </w:r>
      <w:r w:rsidR="00F95495" w:rsidRPr="00403E6A">
        <w:rPr>
          <w:rFonts w:ascii="Times New Roman" w:hAnsi="Times New Roman" w:cs="Times New Roman"/>
          <w:sz w:val="24"/>
          <w:szCs w:val="24"/>
        </w:rPr>
        <w:t>ing</w:t>
      </w:r>
      <w:r w:rsidR="00944396" w:rsidRPr="00403E6A">
        <w:rPr>
          <w:rFonts w:ascii="Times New Roman" w:hAnsi="Times New Roman" w:cs="Times New Roman"/>
          <w:sz w:val="24"/>
          <w:szCs w:val="24"/>
        </w:rPr>
        <w:t xml:space="preserve"> or integrat</w:t>
      </w:r>
      <w:r w:rsidR="00F95495" w:rsidRPr="00403E6A">
        <w:rPr>
          <w:rFonts w:ascii="Times New Roman" w:hAnsi="Times New Roman" w:cs="Times New Roman"/>
          <w:sz w:val="24"/>
          <w:szCs w:val="24"/>
        </w:rPr>
        <w:t>ing</w:t>
      </w:r>
      <w:r w:rsidR="00944396" w:rsidRPr="00403E6A">
        <w:rPr>
          <w:rFonts w:ascii="Times New Roman" w:hAnsi="Times New Roman" w:cs="Times New Roman"/>
          <w:sz w:val="24"/>
          <w:szCs w:val="24"/>
        </w:rPr>
        <w:t xml:space="preserve"> with other organizations that provide the same or similar services such as multispecialty practice organizations</w:t>
      </w:r>
      <w:r w:rsidR="00802A16" w:rsidRPr="00403E6A">
        <w:rPr>
          <w:rFonts w:ascii="Times New Roman" w:hAnsi="Times New Roman" w:cs="Times New Roman"/>
          <w:sz w:val="24"/>
          <w:szCs w:val="24"/>
        </w:rPr>
        <w:t>.</w:t>
      </w:r>
      <w:r w:rsidR="00D4522A" w:rsidRPr="00403E6A">
        <w:rPr>
          <w:rStyle w:val="FootnoteReference"/>
          <w:rFonts w:ascii="Times New Roman" w:hAnsi="Times New Roman" w:cs="Times New Roman"/>
          <w:sz w:val="24"/>
          <w:szCs w:val="24"/>
        </w:rPr>
        <w:footnoteReference w:id="51"/>
      </w:r>
      <w:r w:rsidR="006B5F69" w:rsidRPr="00403E6A">
        <w:rPr>
          <w:rFonts w:ascii="Times New Roman" w:hAnsi="Times New Roman" w:cs="Times New Roman"/>
          <w:sz w:val="24"/>
          <w:szCs w:val="24"/>
        </w:rPr>
        <w:t xml:space="preserve"> </w:t>
      </w:r>
      <w:r w:rsidR="002B57FF" w:rsidRPr="00403E6A">
        <w:rPr>
          <w:rFonts w:ascii="Times New Roman" w:hAnsi="Times New Roman" w:cs="Times New Roman"/>
          <w:sz w:val="24"/>
          <w:szCs w:val="24"/>
        </w:rPr>
        <w:t xml:space="preserve">Since the 1990s, </w:t>
      </w:r>
      <w:r w:rsidR="00204407" w:rsidRPr="00403E6A">
        <w:rPr>
          <w:rFonts w:ascii="Times New Roman" w:hAnsi="Times New Roman" w:cs="Times New Roman"/>
          <w:sz w:val="24"/>
          <w:szCs w:val="24"/>
        </w:rPr>
        <w:t xml:space="preserve">in attempts to lessen the fragmentation effects that horizontal integration had on the system, </w:t>
      </w:r>
      <w:r w:rsidR="002B57FF" w:rsidRPr="00403E6A">
        <w:rPr>
          <w:rFonts w:ascii="Times New Roman" w:hAnsi="Times New Roman" w:cs="Times New Roman"/>
          <w:sz w:val="24"/>
          <w:szCs w:val="24"/>
        </w:rPr>
        <w:t xml:space="preserve">U.S. </w:t>
      </w:r>
      <w:r w:rsidR="006B2ABA" w:rsidRPr="00403E6A">
        <w:rPr>
          <w:rFonts w:ascii="Times New Roman" w:hAnsi="Times New Roman" w:cs="Times New Roman"/>
          <w:sz w:val="24"/>
          <w:szCs w:val="24"/>
        </w:rPr>
        <w:t xml:space="preserve">providers </w:t>
      </w:r>
      <w:r w:rsidR="0092667E" w:rsidRPr="00403E6A">
        <w:rPr>
          <w:rFonts w:ascii="Times New Roman" w:hAnsi="Times New Roman" w:cs="Times New Roman"/>
          <w:sz w:val="24"/>
          <w:szCs w:val="24"/>
        </w:rPr>
        <w:t>moved towards a system that promote</w:t>
      </w:r>
      <w:r w:rsidR="0079745C" w:rsidRPr="00403E6A">
        <w:rPr>
          <w:rFonts w:ascii="Times New Roman" w:hAnsi="Times New Roman" w:cs="Times New Roman"/>
          <w:sz w:val="24"/>
          <w:szCs w:val="24"/>
        </w:rPr>
        <w:t>d</w:t>
      </w:r>
      <w:r w:rsidR="0092667E" w:rsidRPr="00403E6A">
        <w:rPr>
          <w:rFonts w:ascii="Times New Roman" w:hAnsi="Times New Roman" w:cs="Times New Roman"/>
          <w:sz w:val="24"/>
          <w:szCs w:val="24"/>
        </w:rPr>
        <w:t xml:space="preserve"> vertical integration</w:t>
      </w:r>
      <w:r w:rsidR="00F95495" w:rsidRPr="00403E6A">
        <w:rPr>
          <w:rFonts w:ascii="Times New Roman" w:hAnsi="Times New Roman" w:cs="Times New Roman"/>
          <w:sz w:val="24"/>
          <w:szCs w:val="24"/>
        </w:rPr>
        <w:t>.</w:t>
      </w:r>
      <w:r w:rsidR="00775361" w:rsidRPr="00403E6A">
        <w:rPr>
          <w:rStyle w:val="FootnoteReference"/>
          <w:rFonts w:ascii="Times New Roman" w:hAnsi="Times New Roman" w:cs="Times New Roman"/>
          <w:sz w:val="24"/>
          <w:szCs w:val="24"/>
        </w:rPr>
        <w:footnoteReference w:id="52"/>
      </w:r>
      <w:r w:rsidR="00F95495" w:rsidRPr="00403E6A">
        <w:rPr>
          <w:rFonts w:ascii="Times New Roman" w:hAnsi="Times New Roman" w:cs="Times New Roman"/>
          <w:sz w:val="24"/>
          <w:szCs w:val="24"/>
        </w:rPr>
        <w:t xml:space="preserve"> </w:t>
      </w:r>
      <w:r w:rsidR="00D87A2E" w:rsidRPr="00403E6A">
        <w:rPr>
          <w:rFonts w:ascii="Times New Roman" w:hAnsi="Times New Roman" w:cs="Times New Roman"/>
          <w:sz w:val="24"/>
          <w:szCs w:val="24"/>
        </w:rPr>
        <w:t xml:space="preserve">As described above, </w:t>
      </w:r>
      <w:r w:rsidR="006D5526" w:rsidRPr="00403E6A">
        <w:rPr>
          <w:rFonts w:ascii="Times New Roman" w:hAnsi="Times New Roman" w:cs="Times New Roman"/>
          <w:sz w:val="24"/>
          <w:szCs w:val="24"/>
        </w:rPr>
        <w:t xml:space="preserve">in practice, </w:t>
      </w:r>
      <w:r w:rsidR="00D87A2E" w:rsidRPr="00403E6A">
        <w:rPr>
          <w:rFonts w:ascii="Times New Roman" w:hAnsi="Times New Roman" w:cs="Times New Roman"/>
          <w:sz w:val="24"/>
          <w:szCs w:val="24"/>
        </w:rPr>
        <w:lastRenderedPageBreak/>
        <w:t xml:space="preserve">vertical integration </w:t>
      </w:r>
      <w:r w:rsidR="006D5526" w:rsidRPr="00403E6A">
        <w:rPr>
          <w:rFonts w:ascii="Times New Roman" w:hAnsi="Times New Roman" w:cs="Times New Roman"/>
          <w:sz w:val="24"/>
          <w:szCs w:val="24"/>
        </w:rPr>
        <w:t xml:space="preserve">is </w:t>
      </w:r>
      <w:r w:rsidR="00D87A2E" w:rsidRPr="00403E6A">
        <w:rPr>
          <w:rFonts w:ascii="Times New Roman" w:hAnsi="Times New Roman" w:cs="Times New Roman"/>
          <w:sz w:val="24"/>
          <w:szCs w:val="24"/>
        </w:rPr>
        <w:t xml:space="preserve">when organizations acquire or integrate with </w:t>
      </w:r>
      <w:r w:rsidR="00596470" w:rsidRPr="00403E6A">
        <w:rPr>
          <w:rFonts w:ascii="Times New Roman" w:hAnsi="Times New Roman" w:cs="Times New Roman"/>
          <w:sz w:val="24"/>
          <w:szCs w:val="24"/>
        </w:rPr>
        <w:t xml:space="preserve">other </w:t>
      </w:r>
      <w:r w:rsidR="00D87A2E" w:rsidRPr="00403E6A">
        <w:rPr>
          <w:rFonts w:ascii="Times New Roman" w:hAnsi="Times New Roman" w:cs="Times New Roman"/>
          <w:sz w:val="24"/>
          <w:szCs w:val="24"/>
        </w:rPr>
        <w:t>organizations offering different levels of care, services, or functions such as hospital ownership of physician practices</w:t>
      </w:r>
      <w:r w:rsidR="006D5526" w:rsidRPr="00403E6A">
        <w:rPr>
          <w:rFonts w:ascii="Times New Roman" w:hAnsi="Times New Roman" w:cs="Times New Roman"/>
          <w:sz w:val="24"/>
          <w:szCs w:val="24"/>
        </w:rPr>
        <w:t>.</w:t>
      </w:r>
      <w:r w:rsidR="00403E6A" w:rsidRPr="00403E6A">
        <w:rPr>
          <w:rStyle w:val="FootnoteReference"/>
          <w:rFonts w:ascii="Times New Roman" w:hAnsi="Times New Roman" w:cs="Times New Roman"/>
          <w:sz w:val="24"/>
          <w:szCs w:val="24"/>
        </w:rPr>
        <w:footnoteReference w:id="53"/>
      </w:r>
      <w:r w:rsidR="00D87A2E" w:rsidRPr="00403E6A">
        <w:rPr>
          <w:rFonts w:ascii="Times New Roman" w:hAnsi="Times New Roman" w:cs="Times New Roman"/>
          <w:sz w:val="24"/>
          <w:szCs w:val="24"/>
        </w:rPr>
        <w:t xml:space="preserve"> </w:t>
      </w:r>
      <w:r w:rsidR="00604DB2" w:rsidRPr="00403E6A">
        <w:rPr>
          <w:rFonts w:ascii="Times New Roman" w:hAnsi="Times New Roman" w:cs="Times New Roman"/>
          <w:sz w:val="24"/>
          <w:szCs w:val="24"/>
        </w:rPr>
        <w:t>A</w:t>
      </w:r>
      <w:r w:rsidR="009F7B63">
        <w:rPr>
          <w:rFonts w:ascii="Times New Roman" w:hAnsi="Times New Roman" w:cs="Times New Roman"/>
          <w:sz w:val="24"/>
          <w:szCs w:val="24"/>
        </w:rPr>
        <w:t>n</w:t>
      </w:r>
      <w:r w:rsidR="00CB4406" w:rsidRPr="00403E6A">
        <w:rPr>
          <w:rFonts w:ascii="Times New Roman" w:hAnsi="Times New Roman" w:cs="Times New Roman"/>
          <w:sz w:val="24"/>
          <w:szCs w:val="24"/>
        </w:rPr>
        <w:t xml:space="preserve"> </w:t>
      </w:r>
      <w:r w:rsidR="00604DB2" w:rsidRPr="00403E6A">
        <w:rPr>
          <w:rFonts w:ascii="Times New Roman" w:hAnsi="Times New Roman" w:cs="Times New Roman"/>
          <w:sz w:val="24"/>
          <w:szCs w:val="24"/>
        </w:rPr>
        <w:t xml:space="preserve">example of vertical integration would be a </w:t>
      </w:r>
      <w:r w:rsidR="009C631D" w:rsidRPr="00403E6A">
        <w:rPr>
          <w:rFonts w:ascii="Times New Roman" w:hAnsi="Times New Roman" w:cs="Times New Roman"/>
          <w:sz w:val="24"/>
          <w:szCs w:val="24"/>
        </w:rPr>
        <w:t>hospital buy</w:t>
      </w:r>
      <w:r w:rsidR="00604DB2" w:rsidRPr="00403E6A">
        <w:rPr>
          <w:rFonts w:ascii="Times New Roman" w:hAnsi="Times New Roman" w:cs="Times New Roman"/>
          <w:sz w:val="24"/>
          <w:szCs w:val="24"/>
        </w:rPr>
        <w:t xml:space="preserve">ing a </w:t>
      </w:r>
      <w:r w:rsidR="009C631D" w:rsidRPr="00403E6A">
        <w:rPr>
          <w:rFonts w:ascii="Times New Roman" w:hAnsi="Times New Roman" w:cs="Times New Roman"/>
          <w:sz w:val="24"/>
          <w:szCs w:val="24"/>
        </w:rPr>
        <w:t>physician group</w:t>
      </w:r>
      <w:r w:rsidR="00604DB2" w:rsidRPr="00403E6A">
        <w:rPr>
          <w:rFonts w:ascii="Times New Roman" w:hAnsi="Times New Roman" w:cs="Times New Roman"/>
          <w:sz w:val="24"/>
          <w:szCs w:val="24"/>
        </w:rPr>
        <w:t xml:space="preserve"> </w:t>
      </w:r>
      <w:r w:rsidR="009C631D" w:rsidRPr="00403E6A">
        <w:rPr>
          <w:rFonts w:ascii="Times New Roman" w:hAnsi="Times New Roman" w:cs="Times New Roman"/>
          <w:sz w:val="24"/>
          <w:szCs w:val="24"/>
        </w:rPr>
        <w:t xml:space="preserve">or </w:t>
      </w:r>
      <w:r w:rsidR="00604DB2" w:rsidRPr="00403E6A">
        <w:rPr>
          <w:rFonts w:ascii="Times New Roman" w:hAnsi="Times New Roman" w:cs="Times New Roman"/>
          <w:sz w:val="24"/>
          <w:szCs w:val="24"/>
        </w:rPr>
        <w:t xml:space="preserve">a </w:t>
      </w:r>
      <w:r w:rsidR="009C631D" w:rsidRPr="00403E6A">
        <w:rPr>
          <w:rFonts w:ascii="Times New Roman" w:hAnsi="Times New Roman" w:cs="Times New Roman"/>
          <w:sz w:val="24"/>
          <w:szCs w:val="24"/>
        </w:rPr>
        <w:t>health system</w:t>
      </w:r>
      <w:r w:rsidR="00604DB2" w:rsidRPr="00403E6A">
        <w:rPr>
          <w:rFonts w:ascii="Times New Roman" w:hAnsi="Times New Roman" w:cs="Times New Roman"/>
          <w:sz w:val="24"/>
          <w:szCs w:val="24"/>
        </w:rPr>
        <w:t xml:space="preserve"> that </w:t>
      </w:r>
      <w:r w:rsidR="009C631D" w:rsidRPr="00403E6A">
        <w:rPr>
          <w:rFonts w:ascii="Times New Roman" w:hAnsi="Times New Roman" w:cs="Times New Roman"/>
          <w:sz w:val="24"/>
          <w:szCs w:val="24"/>
        </w:rPr>
        <w:t>form</w:t>
      </w:r>
      <w:r w:rsidR="00604DB2" w:rsidRPr="00403E6A">
        <w:rPr>
          <w:rFonts w:ascii="Times New Roman" w:hAnsi="Times New Roman" w:cs="Times New Roman"/>
          <w:sz w:val="24"/>
          <w:szCs w:val="24"/>
        </w:rPr>
        <w:t xml:space="preserve">s </w:t>
      </w:r>
      <w:r w:rsidR="0086607A" w:rsidRPr="00403E6A">
        <w:rPr>
          <w:rFonts w:ascii="Times New Roman" w:hAnsi="Times New Roman" w:cs="Times New Roman"/>
          <w:sz w:val="24"/>
          <w:szCs w:val="24"/>
        </w:rPr>
        <w:t xml:space="preserve">a </w:t>
      </w:r>
      <w:r w:rsidR="009C631D" w:rsidRPr="00403E6A">
        <w:rPr>
          <w:rFonts w:ascii="Times New Roman" w:hAnsi="Times New Roman" w:cs="Times New Roman"/>
          <w:sz w:val="24"/>
          <w:szCs w:val="24"/>
        </w:rPr>
        <w:t>drug compan</w:t>
      </w:r>
      <w:r w:rsidR="0067794E" w:rsidRPr="00403E6A">
        <w:rPr>
          <w:rFonts w:ascii="Times New Roman" w:hAnsi="Times New Roman" w:cs="Times New Roman"/>
          <w:sz w:val="24"/>
          <w:szCs w:val="24"/>
        </w:rPr>
        <w:t>y</w:t>
      </w:r>
      <w:r w:rsidR="009C631D" w:rsidRPr="00403E6A">
        <w:rPr>
          <w:rFonts w:ascii="Times New Roman" w:hAnsi="Times New Roman" w:cs="Times New Roman"/>
          <w:sz w:val="24"/>
          <w:szCs w:val="24"/>
        </w:rPr>
        <w:t xml:space="preserve">. </w:t>
      </w:r>
      <w:r w:rsidR="00CB0769">
        <w:rPr>
          <w:rFonts w:ascii="Times New Roman" w:hAnsi="Times New Roman" w:cs="Times New Roman"/>
          <w:sz w:val="24"/>
          <w:szCs w:val="24"/>
        </w:rPr>
        <w:t>S</w:t>
      </w:r>
      <w:r w:rsidR="00C043D9" w:rsidRPr="00403E6A">
        <w:rPr>
          <w:rFonts w:ascii="Times New Roman" w:hAnsi="Times New Roman" w:cs="Times New Roman"/>
          <w:sz w:val="24"/>
          <w:szCs w:val="24"/>
        </w:rPr>
        <w:t>treamlining providers via v</w:t>
      </w:r>
      <w:r w:rsidR="00FA73B5" w:rsidRPr="00403E6A">
        <w:rPr>
          <w:rFonts w:ascii="Times New Roman" w:hAnsi="Times New Roman" w:cs="Times New Roman"/>
          <w:sz w:val="24"/>
          <w:szCs w:val="24"/>
        </w:rPr>
        <w:t xml:space="preserve">ertical integration </w:t>
      </w:r>
      <w:r w:rsidR="00BA115E" w:rsidRPr="00403E6A">
        <w:rPr>
          <w:rFonts w:ascii="Times New Roman" w:hAnsi="Times New Roman" w:cs="Times New Roman"/>
          <w:sz w:val="24"/>
          <w:szCs w:val="24"/>
        </w:rPr>
        <w:t>can</w:t>
      </w:r>
      <w:r w:rsidR="000B6610" w:rsidRPr="00403E6A">
        <w:rPr>
          <w:rFonts w:ascii="Times New Roman" w:hAnsi="Times New Roman" w:cs="Times New Roman"/>
          <w:sz w:val="24"/>
          <w:szCs w:val="24"/>
        </w:rPr>
        <w:t xml:space="preserve"> </w:t>
      </w:r>
      <w:r w:rsidR="00FA73B5" w:rsidRPr="00403E6A">
        <w:rPr>
          <w:rFonts w:ascii="Times New Roman" w:hAnsi="Times New Roman" w:cs="Times New Roman"/>
          <w:sz w:val="24"/>
          <w:szCs w:val="24"/>
        </w:rPr>
        <w:t>help eliminate wasteful or repetitive services, encourage shared resources, and reduce overhead expenses.</w:t>
      </w:r>
      <w:r w:rsidR="00CB0769">
        <w:rPr>
          <w:rStyle w:val="FootnoteReference"/>
          <w:rFonts w:ascii="Times New Roman" w:hAnsi="Times New Roman" w:cs="Times New Roman"/>
          <w:sz w:val="24"/>
          <w:szCs w:val="24"/>
        </w:rPr>
        <w:footnoteReference w:id="54"/>
      </w:r>
      <w:r w:rsidR="00FA73B5" w:rsidRPr="00403E6A">
        <w:rPr>
          <w:rFonts w:ascii="Times New Roman" w:hAnsi="Times New Roman" w:cs="Times New Roman"/>
          <w:sz w:val="24"/>
          <w:szCs w:val="24"/>
        </w:rPr>
        <w:t xml:space="preserve"> </w:t>
      </w:r>
      <w:r w:rsidR="00934930" w:rsidRPr="00403E6A">
        <w:rPr>
          <w:rFonts w:ascii="Times New Roman" w:hAnsi="Times New Roman" w:cs="Times New Roman"/>
          <w:sz w:val="24"/>
          <w:szCs w:val="24"/>
        </w:rPr>
        <w:t xml:space="preserve">For example, </w:t>
      </w:r>
      <w:r w:rsidR="00610C85" w:rsidRPr="00403E6A">
        <w:rPr>
          <w:rFonts w:ascii="Times New Roman" w:hAnsi="Times New Roman" w:cs="Times New Roman"/>
          <w:sz w:val="24"/>
          <w:szCs w:val="24"/>
        </w:rPr>
        <w:t xml:space="preserve">consolidated </w:t>
      </w:r>
      <w:r w:rsidR="00D5051F" w:rsidRPr="00403E6A">
        <w:rPr>
          <w:rFonts w:ascii="Times New Roman" w:hAnsi="Times New Roman" w:cs="Times New Roman"/>
          <w:sz w:val="24"/>
          <w:szCs w:val="24"/>
        </w:rPr>
        <w:t xml:space="preserve">hospital and physician </w:t>
      </w:r>
      <w:r w:rsidR="00BA115E" w:rsidRPr="00403E6A">
        <w:rPr>
          <w:rFonts w:ascii="Times New Roman" w:hAnsi="Times New Roman" w:cs="Times New Roman"/>
          <w:sz w:val="24"/>
          <w:szCs w:val="24"/>
        </w:rPr>
        <w:t xml:space="preserve">efforts </w:t>
      </w:r>
      <w:r w:rsidR="00D5051F" w:rsidRPr="00403E6A">
        <w:rPr>
          <w:rFonts w:ascii="Times New Roman" w:hAnsi="Times New Roman" w:cs="Times New Roman"/>
          <w:sz w:val="24"/>
          <w:szCs w:val="24"/>
        </w:rPr>
        <w:t>in the supply chain can align financial incentives between hospitals and</w:t>
      </w:r>
      <w:r w:rsidR="00934930" w:rsidRPr="00403E6A">
        <w:rPr>
          <w:rFonts w:ascii="Times New Roman" w:hAnsi="Times New Roman" w:cs="Times New Roman"/>
          <w:sz w:val="24"/>
          <w:szCs w:val="24"/>
        </w:rPr>
        <w:t xml:space="preserve"> </w:t>
      </w:r>
      <w:r w:rsidR="00D5051F" w:rsidRPr="00403E6A">
        <w:rPr>
          <w:rFonts w:ascii="Times New Roman" w:hAnsi="Times New Roman" w:cs="Times New Roman"/>
          <w:sz w:val="24"/>
          <w:szCs w:val="24"/>
        </w:rPr>
        <w:t xml:space="preserve">referring physicians, reduce </w:t>
      </w:r>
      <w:r w:rsidR="007A3CE1" w:rsidRPr="00403E6A">
        <w:rPr>
          <w:rFonts w:ascii="Times New Roman" w:hAnsi="Times New Roman" w:cs="Times New Roman"/>
          <w:sz w:val="24"/>
          <w:szCs w:val="24"/>
        </w:rPr>
        <w:t>over-utilization</w:t>
      </w:r>
      <w:r w:rsidR="00D5051F" w:rsidRPr="00403E6A">
        <w:rPr>
          <w:rFonts w:ascii="Times New Roman" w:hAnsi="Times New Roman" w:cs="Times New Roman"/>
          <w:sz w:val="24"/>
          <w:szCs w:val="24"/>
        </w:rPr>
        <w:t xml:space="preserve">, </w:t>
      </w:r>
      <w:r w:rsidR="004F3594" w:rsidRPr="00403E6A">
        <w:rPr>
          <w:rFonts w:ascii="Times New Roman" w:hAnsi="Times New Roman" w:cs="Times New Roman"/>
          <w:sz w:val="24"/>
          <w:szCs w:val="24"/>
        </w:rPr>
        <w:t xml:space="preserve">and </w:t>
      </w:r>
      <w:r w:rsidR="00D5051F" w:rsidRPr="00403E6A">
        <w:rPr>
          <w:rFonts w:ascii="Times New Roman" w:hAnsi="Times New Roman" w:cs="Times New Roman"/>
          <w:sz w:val="24"/>
          <w:szCs w:val="24"/>
        </w:rPr>
        <w:t>provide centralized administrative services</w:t>
      </w:r>
      <w:r w:rsidR="004F3594" w:rsidRPr="00403E6A">
        <w:rPr>
          <w:rFonts w:ascii="Times New Roman" w:hAnsi="Times New Roman" w:cs="Times New Roman"/>
          <w:sz w:val="24"/>
          <w:szCs w:val="24"/>
        </w:rPr>
        <w:t>.</w:t>
      </w:r>
      <w:r w:rsidR="00292592">
        <w:rPr>
          <w:rStyle w:val="FootnoteReference"/>
          <w:rFonts w:ascii="Times New Roman" w:hAnsi="Times New Roman" w:cs="Times New Roman"/>
          <w:sz w:val="24"/>
          <w:szCs w:val="24"/>
        </w:rPr>
        <w:footnoteReference w:id="55"/>
      </w:r>
      <w:r w:rsidR="00B51EDB" w:rsidRPr="00403E6A">
        <w:rPr>
          <w:rFonts w:ascii="Times New Roman" w:hAnsi="Times New Roman" w:cs="Times New Roman"/>
          <w:sz w:val="24"/>
          <w:szCs w:val="24"/>
        </w:rPr>
        <w:t xml:space="preserve"> </w:t>
      </w:r>
      <w:r w:rsidR="00FB77FB" w:rsidRPr="00403E6A">
        <w:rPr>
          <w:rFonts w:ascii="Times New Roman" w:hAnsi="Times New Roman" w:cs="Times New Roman"/>
          <w:sz w:val="24"/>
          <w:szCs w:val="24"/>
        </w:rPr>
        <w:t>Additionally, v</w:t>
      </w:r>
      <w:r w:rsidR="00B67938" w:rsidRPr="00403E6A">
        <w:rPr>
          <w:rFonts w:ascii="Times New Roman" w:hAnsi="Times New Roman" w:cs="Times New Roman"/>
          <w:sz w:val="24"/>
          <w:szCs w:val="24"/>
        </w:rPr>
        <w:t xml:space="preserve">ertical </w:t>
      </w:r>
      <w:r w:rsidR="004A3184">
        <w:rPr>
          <w:rFonts w:ascii="Times New Roman" w:hAnsi="Times New Roman" w:cs="Times New Roman"/>
          <w:sz w:val="24"/>
          <w:szCs w:val="24"/>
        </w:rPr>
        <w:t>integration</w:t>
      </w:r>
      <w:r w:rsidR="00B67938" w:rsidRPr="00403E6A">
        <w:rPr>
          <w:rFonts w:ascii="Times New Roman" w:hAnsi="Times New Roman" w:cs="Times New Roman"/>
          <w:sz w:val="24"/>
          <w:szCs w:val="24"/>
        </w:rPr>
        <w:t xml:space="preserve"> of </w:t>
      </w:r>
      <w:r w:rsidR="00463FEA" w:rsidRPr="00403E6A">
        <w:rPr>
          <w:rFonts w:ascii="Times New Roman" w:hAnsi="Times New Roman" w:cs="Times New Roman"/>
          <w:sz w:val="24"/>
          <w:szCs w:val="24"/>
        </w:rPr>
        <w:t xml:space="preserve">providers </w:t>
      </w:r>
      <w:r w:rsidR="00B67938" w:rsidRPr="00403E6A">
        <w:rPr>
          <w:rFonts w:ascii="Times New Roman" w:hAnsi="Times New Roman" w:cs="Times New Roman"/>
          <w:sz w:val="24"/>
          <w:szCs w:val="24"/>
        </w:rPr>
        <w:t xml:space="preserve">or </w:t>
      </w:r>
      <w:r w:rsidR="00CA2A18">
        <w:rPr>
          <w:rFonts w:ascii="Times New Roman" w:hAnsi="Times New Roman" w:cs="Times New Roman"/>
          <w:sz w:val="24"/>
          <w:szCs w:val="24"/>
        </w:rPr>
        <w:t>insurers</w:t>
      </w:r>
      <w:r w:rsidR="00B67938" w:rsidRPr="00403E6A">
        <w:rPr>
          <w:rFonts w:ascii="Times New Roman" w:hAnsi="Times New Roman" w:cs="Times New Roman"/>
          <w:sz w:val="24"/>
          <w:szCs w:val="24"/>
        </w:rPr>
        <w:t xml:space="preserve"> into integrated delivery systems may reduce the costs of complex negotiations between </w:t>
      </w:r>
      <w:r w:rsidR="005521C7">
        <w:rPr>
          <w:rFonts w:ascii="Times New Roman" w:hAnsi="Times New Roman" w:cs="Times New Roman"/>
          <w:sz w:val="24"/>
          <w:szCs w:val="24"/>
        </w:rPr>
        <w:t>these parties</w:t>
      </w:r>
      <w:r w:rsidR="00B67938" w:rsidRPr="00403E6A">
        <w:rPr>
          <w:rFonts w:ascii="Times New Roman" w:hAnsi="Times New Roman" w:cs="Times New Roman"/>
          <w:sz w:val="24"/>
          <w:szCs w:val="24"/>
        </w:rPr>
        <w:t>.</w:t>
      </w:r>
      <w:r w:rsidR="00CA2A18">
        <w:rPr>
          <w:rStyle w:val="FootnoteReference"/>
          <w:rFonts w:ascii="Times New Roman" w:hAnsi="Times New Roman" w:cs="Times New Roman"/>
          <w:sz w:val="24"/>
          <w:szCs w:val="24"/>
        </w:rPr>
        <w:footnoteReference w:id="56"/>
      </w:r>
      <w:r w:rsidR="00B67938" w:rsidRPr="00403E6A">
        <w:rPr>
          <w:rFonts w:ascii="Times New Roman" w:hAnsi="Times New Roman" w:cs="Times New Roman"/>
          <w:sz w:val="24"/>
          <w:szCs w:val="24"/>
        </w:rPr>
        <w:t xml:space="preserve"> </w:t>
      </w:r>
    </w:p>
    <w:p w14:paraId="10D35B96" w14:textId="6F608551" w:rsidR="0060142D" w:rsidRPr="00403E6A" w:rsidRDefault="00B67938" w:rsidP="00B67938">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r>
      <w:r w:rsidR="00EC1F91" w:rsidRPr="00403E6A">
        <w:rPr>
          <w:rFonts w:ascii="Times New Roman" w:hAnsi="Times New Roman" w:cs="Times New Roman"/>
          <w:sz w:val="24"/>
          <w:szCs w:val="24"/>
        </w:rPr>
        <w:t xml:space="preserve">Unfortunately, </w:t>
      </w:r>
      <w:r w:rsidR="00987CA9" w:rsidRPr="00403E6A">
        <w:rPr>
          <w:rFonts w:ascii="Times New Roman" w:hAnsi="Times New Roman" w:cs="Times New Roman"/>
          <w:sz w:val="24"/>
          <w:szCs w:val="24"/>
        </w:rPr>
        <w:t xml:space="preserve">initial </w:t>
      </w:r>
      <w:r w:rsidR="007B01A7" w:rsidRPr="00403E6A">
        <w:rPr>
          <w:rFonts w:ascii="Times New Roman" w:hAnsi="Times New Roman" w:cs="Times New Roman"/>
          <w:sz w:val="24"/>
          <w:szCs w:val="24"/>
        </w:rPr>
        <w:t xml:space="preserve">concepts of vertical integration failed to </w:t>
      </w:r>
      <w:r w:rsidR="00AF20D6" w:rsidRPr="00403E6A">
        <w:rPr>
          <w:rFonts w:ascii="Times New Roman" w:hAnsi="Times New Roman" w:cs="Times New Roman"/>
          <w:sz w:val="24"/>
          <w:szCs w:val="24"/>
        </w:rPr>
        <w:t xml:space="preserve">foresee and </w:t>
      </w:r>
      <w:r w:rsidR="007B01A7" w:rsidRPr="00403E6A">
        <w:rPr>
          <w:rFonts w:ascii="Times New Roman" w:hAnsi="Times New Roman" w:cs="Times New Roman"/>
          <w:sz w:val="24"/>
          <w:szCs w:val="24"/>
        </w:rPr>
        <w:t xml:space="preserve">mitigate the effects of over-utilization </w:t>
      </w:r>
      <w:r w:rsidR="0012061E" w:rsidRPr="00403E6A">
        <w:rPr>
          <w:rFonts w:ascii="Times New Roman" w:hAnsi="Times New Roman" w:cs="Times New Roman"/>
          <w:sz w:val="24"/>
          <w:szCs w:val="24"/>
        </w:rPr>
        <w:t>in</w:t>
      </w:r>
      <w:r w:rsidR="007B01A7" w:rsidRPr="00403E6A">
        <w:rPr>
          <w:rFonts w:ascii="Times New Roman" w:hAnsi="Times New Roman" w:cs="Times New Roman"/>
          <w:sz w:val="24"/>
          <w:szCs w:val="24"/>
        </w:rPr>
        <w:t xml:space="preserve"> the system.</w:t>
      </w:r>
      <w:r w:rsidR="005C16B4">
        <w:rPr>
          <w:rStyle w:val="FootnoteReference"/>
          <w:rFonts w:ascii="Times New Roman" w:hAnsi="Times New Roman" w:cs="Times New Roman"/>
          <w:sz w:val="24"/>
          <w:szCs w:val="24"/>
        </w:rPr>
        <w:footnoteReference w:id="57"/>
      </w:r>
      <w:r w:rsidR="007B01A7" w:rsidRPr="00403E6A">
        <w:rPr>
          <w:rFonts w:ascii="Times New Roman" w:hAnsi="Times New Roman" w:cs="Times New Roman"/>
          <w:sz w:val="24"/>
          <w:szCs w:val="24"/>
        </w:rPr>
        <w:t xml:space="preserve"> </w:t>
      </w:r>
      <w:r w:rsidR="00EE7B3A" w:rsidRPr="00403E6A">
        <w:rPr>
          <w:rFonts w:ascii="Times New Roman" w:hAnsi="Times New Roman" w:cs="Times New Roman"/>
          <w:sz w:val="24"/>
          <w:szCs w:val="24"/>
        </w:rPr>
        <w:t>Th</w:t>
      </w:r>
      <w:r w:rsidR="0012061E" w:rsidRPr="00403E6A">
        <w:rPr>
          <w:rFonts w:ascii="Times New Roman" w:hAnsi="Times New Roman" w:cs="Times New Roman"/>
          <w:sz w:val="24"/>
          <w:szCs w:val="24"/>
        </w:rPr>
        <w:t>is</w:t>
      </w:r>
      <w:r w:rsidR="00EE7B3A" w:rsidRPr="00403E6A">
        <w:rPr>
          <w:rFonts w:ascii="Times New Roman" w:hAnsi="Times New Roman" w:cs="Times New Roman"/>
          <w:sz w:val="24"/>
          <w:szCs w:val="24"/>
        </w:rPr>
        <w:t xml:space="preserve"> issue of over-utilization</w:t>
      </w:r>
      <w:r w:rsidR="00F9197B" w:rsidRPr="00403E6A">
        <w:rPr>
          <w:rFonts w:ascii="Times New Roman" w:hAnsi="Times New Roman" w:cs="Times New Roman"/>
          <w:sz w:val="24"/>
          <w:szCs w:val="24"/>
        </w:rPr>
        <w:t>, particularly in expensive regions on the country,</w:t>
      </w:r>
      <w:r w:rsidR="00EE7B3A" w:rsidRPr="00403E6A">
        <w:rPr>
          <w:rFonts w:ascii="Times New Roman" w:hAnsi="Times New Roman" w:cs="Times New Roman"/>
          <w:sz w:val="24"/>
          <w:szCs w:val="24"/>
        </w:rPr>
        <w:t xml:space="preserve"> </w:t>
      </w:r>
      <w:r w:rsidR="004B643D" w:rsidRPr="00403E6A">
        <w:rPr>
          <w:rFonts w:ascii="Times New Roman" w:hAnsi="Times New Roman" w:cs="Times New Roman"/>
          <w:sz w:val="24"/>
          <w:szCs w:val="24"/>
        </w:rPr>
        <w:t>became</w:t>
      </w:r>
      <w:r w:rsidR="007F4BE0" w:rsidRPr="00403E6A">
        <w:rPr>
          <w:rFonts w:ascii="Times New Roman" w:hAnsi="Times New Roman" w:cs="Times New Roman"/>
          <w:sz w:val="24"/>
          <w:szCs w:val="24"/>
        </w:rPr>
        <w:t xml:space="preserve"> </w:t>
      </w:r>
      <w:r w:rsidR="006606C6" w:rsidRPr="00403E6A">
        <w:rPr>
          <w:rFonts w:ascii="Times New Roman" w:hAnsi="Times New Roman" w:cs="Times New Roman"/>
          <w:sz w:val="24"/>
          <w:szCs w:val="24"/>
        </w:rPr>
        <w:t>apparent</w:t>
      </w:r>
      <w:r w:rsidR="0090699A" w:rsidRPr="00403E6A">
        <w:rPr>
          <w:rFonts w:ascii="Times New Roman" w:hAnsi="Times New Roman" w:cs="Times New Roman"/>
          <w:sz w:val="24"/>
          <w:szCs w:val="24"/>
        </w:rPr>
        <w:t xml:space="preserve"> to policy makers</w:t>
      </w:r>
      <w:r w:rsidR="006606C6" w:rsidRPr="00403E6A">
        <w:rPr>
          <w:rFonts w:ascii="Times New Roman" w:hAnsi="Times New Roman" w:cs="Times New Roman"/>
          <w:sz w:val="24"/>
          <w:szCs w:val="24"/>
        </w:rPr>
        <w:t xml:space="preserve"> </w:t>
      </w:r>
      <w:r w:rsidR="00D6752C" w:rsidRPr="00403E6A">
        <w:rPr>
          <w:rFonts w:ascii="Times New Roman" w:hAnsi="Times New Roman" w:cs="Times New Roman"/>
          <w:sz w:val="24"/>
          <w:szCs w:val="24"/>
        </w:rPr>
        <w:t xml:space="preserve">during </w:t>
      </w:r>
      <w:r w:rsidR="007F4BE0" w:rsidRPr="00403E6A">
        <w:rPr>
          <w:rFonts w:ascii="Times New Roman" w:hAnsi="Times New Roman" w:cs="Times New Roman"/>
          <w:sz w:val="24"/>
          <w:szCs w:val="24"/>
        </w:rPr>
        <w:t xml:space="preserve">the </w:t>
      </w:r>
      <w:r w:rsidR="00DE4BE9" w:rsidRPr="00403E6A">
        <w:rPr>
          <w:rFonts w:ascii="Times New Roman" w:hAnsi="Times New Roman" w:cs="Times New Roman"/>
          <w:sz w:val="24"/>
          <w:szCs w:val="24"/>
        </w:rPr>
        <w:t>Obama Administration</w:t>
      </w:r>
      <w:r w:rsidR="0049094C" w:rsidRPr="00403E6A">
        <w:rPr>
          <w:rFonts w:ascii="Times New Roman" w:hAnsi="Times New Roman" w:cs="Times New Roman"/>
          <w:sz w:val="24"/>
          <w:szCs w:val="24"/>
        </w:rPr>
        <w:t>.</w:t>
      </w:r>
      <w:r w:rsidR="00F849F8">
        <w:rPr>
          <w:rStyle w:val="FootnoteReference"/>
          <w:rFonts w:ascii="Times New Roman" w:hAnsi="Times New Roman" w:cs="Times New Roman"/>
          <w:sz w:val="24"/>
          <w:szCs w:val="24"/>
        </w:rPr>
        <w:footnoteReference w:id="58"/>
      </w:r>
      <w:r w:rsidR="0049094C" w:rsidRPr="00403E6A">
        <w:rPr>
          <w:rFonts w:ascii="Times New Roman" w:hAnsi="Times New Roman" w:cs="Times New Roman"/>
          <w:sz w:val="24"/>
          <w:szCs w:val="24"/>
        </w:rPr>
        <w:t xml:space="preserve"> </w:t>
      </w:r>
      <w:r w:rsidR="001E2DE4" w:rsidRPr="00403E6A">
        <w:rPr>
          <w:rFonts w:ascii="Times New Roman" w:hAnsi="Times New Roman" w:cs="Times New Roman"/>
          <w:sz w:val="24"/>
          <w:szCs w:val="24"/>
        </w:rPr>
        <w:t xml:space="preserve">In 2009, </w:t>
      </w:r>
      <w:r w:rsidR="000B4B5E" w:rsidRPr="00403E6A">
        <w:rPr>
          <w:rFonts w:ascii="Times New Roman" w:hAnsi="Times New Roman" w:cs="Times New Roman"/>
          <w:sz w:val="24"/>
          <w:szCs w:val="24"/>
        </w:rPr>
        <w:t xml:space="preserve">physician and journalist </w:t>
      </w:r>
      <w:r w:rsidR="005F52C7" w:rsidRPr="00403E6A">
        <w:rPr>
          <w:rFonts w:ascii="Times New Roman" w:hAnsi="Times New Roman" w:cs="Times New Roman"/>
          <w:sz w:val="24"/>
          <w:szCs w:val="24"/>
        </w:rPr>
        <w:t>Atul Gawande</w:t>
      </w:r>
      <w:r w:rsidR="00DB06DF" w:rsidRPr="00403E6A">
        <w:rPr>
          <w:rFonts w:ascii="Times New Roman" w:hAnsi="Times New Roman" w:cs="Times New Roman"/>
          <w:sz w:val="24"/>
          <w:szCs w:val="24"/>
        </w:rPr>
        <w:t xml:space="preserve"> discovered that in </w:t>
      </w:r>
      <w:r w:rsidR="00BA56BC" w:rsidRPr="00403E6A">
        <w:rPr>
          <w:rFonts w:ascii="Times New Roman" w:hAnsi="Times New Roman" w:cs="Times New Roman"/>
          <w:sz w:val="24"/>
          <w:szCs w:val="24"/>
        </w:rPr>
        <w:t xml:space="preserve">spending </w:t>
      </w:r>
      <w:r w:rsidR="00DB06DF" w:rsidRPr="00403E6A">
        <w:rPr>
          <w:rFonts w:ascii="Times New Roman" w:hAnsi="Times New Roman" w:cs="Times New Roman"/>
          <w:sz w:val="24"/>
          <w:szCs w:val="24"/>
        </w:rPr>
        <w:t>regions of the country</w:t>
      </w:r>
      <w:r w:rsidR="00351FF7" w:rsidRPr="00403E6A">
        <w:rPr>
          <w:rFonts w:ascii="Times New Roman" w:hAnsi="Times New Roman" w:cs="Times New Roman"/>
          <w:sz w:val="24"/>
          <w:szCs w:val="24"/>
        </w:rPr>
        <w:t xml:space="preserve"> where health care spending was unusually high</w:t>
      </w:r>
      <w:r w:rsidR="00DB06DF" w:rsidRPr="00403E6A">
        <w:rPr>
          <w:rFonts w:ascii="Times New Roman" w:hAnsi="Times New Roman" w:cs="Times New Roman"/>
          <w:sz w:val="24"/>
          <w:szCs w:val="24"/>
        </w:rPr>
        <w:t xml:space="preserve">, </w:t>
      </w:r>
      <w:r w:rsidR="00CD3945" w:rsidRPr="00403E6A">
        <w:rPr>
          <w:rFonts w:ascii="Times New Roman" w:hAnsi="Times New Roman" w:cs="Times New Roman"/>
          <w:sz w:val="24"/>
          <w:szCs w:val="24"/>
        </w:rPr>
        <w:t>the issue was not poor</w:t>
      </w:r>
      <w:r w:rsidR="004168F7" w:rsidRPr="00403E6A">
        <w:rPr>
          <w:rFonts w:ascii="Times New Roman" w:hAnsi="Times New Roman" w:cs="Times New Roman"/>
          <w:sz w:val="24"/>
          <w:szCs w:val="24"/>
        </w:rPr>
        <w:t>er</w:t>
      </w:r>
      <w:r w:rsidR="00CD3945" w:rsidRPr="00403E6A">
        <w:rPr>
          <w:rFonts w:ascii="Times New Roman" w:hAnsi="Times New Roman" w:cs="Times New Roman"/>
          <w:sz w:val="24"/>
          <w:szCs w:val="24"/>
        </w:rPr>
        <w:t xml:space="preserve"> health populations</w:t>
      </w:r>
      <w:r w:rsidR="007F0708" w:rsidRPr="00403E6A">
        <w:rPr>
          <w:rFonts w:ascii="Times New Roman" w:hAnsi="Times New Roman" w:cs="Times New Roman"/>
          <w:sz w:val="24"/>
          <w:szCs w:val="24"/>
        </w:rPr>
        <w:t>.</w:t>
      </w:r>
      <w:r w:rsidR="006721E2">
        <w:rPr>
          <w:rStyle w:val="FootnoteReference"/>
          <w:rFonts w:ascii="Times New Roman" w:hAnsi="Times New Roman" w:cs="Times New Roman"/>
          <w:sz w:val="24"/>
          <w:szCs w:val="24"/>
        </w:rPr>
        <w:footnoteReference w:id="59"/>
      </w:r>
      <w:r w:rsidR="00CD3945" w:rsidRPr="00403E6A">
        <w:rPr>
          <w:rFonts w:ascii="Times New Roman" w:hAnsi="Times New Roman" w:cs="Times New Roman"/>
          <w:sz w:val="24"/>
          <w:szCs w:val="24"/>
        </w:rPr>
        <w:t xml:space="preserve"> </w:t>
      </w:r>
      <w:r w:rsidR="009F3DF8" w:rsidRPr="00403E6A">
        <w:rPr>
          <w:rFonts w:ascii="Times New Roman" w:hAnsi="Times New Roman" w:cs="Times New Roman"/>
          <w:sz w:val="24"/>
          <w:szCs w:val="24"/>
        </w:rPr>
        <w:t>He found</w:t>
      </w:r>
      <w:r w:rsidR="00CD3945" w:rsidRPr="00403E6A">
        <w:rPr>
          <w:rFonts w:ascii="Times New Roman" w:hAnsi="Times New Roman" w:cs="Times New Roman"/>
          <w:sz w:val="24"/>
          <w:szCs w:val="24"/>
        </w:rPr>
        <w:t xml:space="preserve"> that </w:t>
      </w:r>
      <w:r w:rsidR="00BF7820" w:rsidRPr="00403E6A">
        <w:rPr>
          <w:rFonts w:ascii="Times New Roman" w:hAnsi="Times New Roman" w:cs="Times New Roman"/>
          <w:sz w:val="24"/>
          <w:szCs w:val="24"/>
        </w:rPr>
        <w:t xml:space="preserve">physicians and specialists were prescribing </w:t>
      </w:r>
      <w:r w:rsidR="00A02B4C" w:rsidRPr="00403E6A">
        <w:rPr>
          <w:rFonts w:ascii="Times New Roman" w:hAnsi="Times New Roman" w:cs="Times New Roman"/>
          <w:sz w:val="24"/>
          <w:szCs w:val="24"/>
        </w:rPr>
        <w:t xml:space="preserve">procedures </w:t>
      </w:r>
      <w:r w:rsidR="00BA56BC" w:rsidRPr="00403E6A">
        <w:rPr>
          <w:rFonts w:ascii="Times New Roman" w:hAnsi="Times New Roman" w:cs="Times New Roman"/>
          <w:sz w:val="24"/>
          <w:szCs w:val="24"/>
        </w:rPr>
        <w:t>that were unnecessary</w:t>
      </w:r>
      <w:r w:rsidR="0010444D" w:rsidRPr="00403E6A">
        <w:rPr>
          <w:rFonts w:ascii="Times New Roman" w:hAnsi="Times New Roman" w:cs="Times New Roman"/>
          <w:sz w:val="24"/>
          <w:szCs w:val="24"/>
        </w:rPr>
        <w:t xml:space="preserve"> and economically inefficient</w:t>
      </w:r>
      <w:r w:rsidR="00BA56BC" w:rsidRPr="00403E6A">
        <w:rPr>
          <w:rFonts w:ascii="Times New Roman" w:hAnsi="Times New Roman" w:cs="Times New Roman"/>
          <w:sz w:val="24"/>
          <w:szCs w:val="24"/>
        </w:rPr>
        <w:t>.</w:t>
      </w:r>
      <w:r w:rsidR="00BB5249">
        <w:rPr>
          <w:rStyle w:val="FootnoteReference"/>
          <w:rFonts w:ascii="Times New Roman" w:hAnsi="Times New Roman" w:cs="Times New Roman"/>
          <w:sz w:val="24"/>
          <w:szCs w:val="24"/>
        </w:rPr>
        <w:footnoteReference w:id="60"/>
      </w:r>
      <w:r w:rsidR="00BA56BC" w:rsidRPr="00403E6A">
        <w:rPr>
          <w:rFonts w:ascii="Times New Roman" w:hAnsi="Times New Roman" w:cs="Times New Roman"/>
          <w:sz w:val="24"/>
          <w:szCs w:val="24"/>
        </w:rPr>
        <w:t xml:space="preserve"> </w:t>
      </w:r>
      <w:r w:rsidR="00A3642F" w:rsidRPr="00403E6A">
        <w:rPr>
          <w:rFonts w:ascii="Times New Roman" w:hAnsi="Times New Roman" w:cs="Times New Roman"/>
          <w:sz w:val="24"/>
          <w:szCs w:val="24"/>
        </w:rPr>
        <w:t xml:space="preserve">Gawande’s research </w:t>
      </w:r>
      <w:r w:rsidR="00CF6279" w:rsidRPr="00403E6A">
        <w:rPr>
          <w:rFonts w:ascii="Times New Roman" w:hAnsi="Times New Roman" w:cs="Times New Roman"/>
          <w:sz w:val="24"/>
          <w:szCs w:val="24"/>
        </w:rPr>
        <w:t xml:space="preserve">provided a detailed synopsis as to how providers can exploit the </w:t>
      </w:r>
      <w:r w:rsidR="00BF4C93" w:rsidRPr="00403E6A">
        <w:rPr>
          <w:rFonts w:ascii="Times New Roman" w:hAnsi="Times New Roman" w:cs="Times New Roman"/>
          <w:sz w:val="24"/>
          <w:szCs w:val="24"/>
        </w:rPr>
        <w:t xml:space="preserve">fee-for-service </w:t>
      </w:r>
      <w:r w:rsidR="00CF6279" w:rsidRPr="00403E6A">
        <w:rPr>
          <w:rFonts w:ascii="Times New Roman" w:hAnsi="Times New Roman" w:cs="Times New Roman"/>
          <w:sz w:val="24"/>
          <w:szCs w:val="24"/>
        </w:rPr>
        <w:t xml:space="preserve">payment </w:t>
      </w:r>
      <w:r w:rsidR="00DB4E0F" w:rsidRPr="00403E6A">
        <w:rPr>
          <w:rFonts w:ascii="Times New Roman" w:hAnsi="Times New Roman" w:cs="Times New Roman"/>
          <w:sz w:val="24"/>
          <w:szCs w:val="24"/>
        </w:rPr>
        <w:t>model</w:t>
      </w:r>
      <w:r w:rsidR="00E32D4F" w:rsidRPr="00403E6A">
        <w:rPr>
          <w:rFonts w:ascii="Times New Roman" w:hAnsi="Times New Roman" w:cs="Times New Roman"/>
          <w:sz w:val="24"/>
          <w:szCs w:val="24"/>
        </w:rPr>
        <w:t xml:space="preserve"> (FFS)</w:t>
      </w:r>
      <w:r w:rsidR="00E75E4A" w:rsidRPr="00403E6A">
        <w:rPr>
          <w:rFonts w:ascii="Times New Roman" w:hAnsi="Times New Roman" w:cs="Times New Roman"/>
          <w:sz w:val="24"/>
          <w:szCs w:val="24"/>
        </w:rPr>
        <w:t xml:space="preserve"> to their benefit</w:t>
      </w:r>
      <w:r w:rsidR="00CF6279" w:rsidRPr="00403E6A">
        <w:rPr>
          <w:rFonts w:ascii="Times New Roman" w:hAnsi="Times New Roman" w:cs="Times New Roman"/>
          <w:sz w:val="24"/>
          <w:szCs w:val="24"/>
        </w:rPr>
        <w:t>.</w:t>
      </w:r>
      <w:r w:rsidR="00702DED">
        <w:rPr>
          <w:rStyle w:val="FootnoteReference"/>
          <w:rFonts w:ascii="Times New Roman" w:hAnsi="Times New Roman" w:cs="Times New Roman"/>
          <w:sz w:val="24"/>
          <w:szCs w:val="24"/>
        </w:rPr>
        <w:footnoteReference w:id="61"/>
      </w:r>
      <w:r w:rsidR="00CF6279" w:rsidRPr="00403E6A">
        <w:rPr>
          <w:rFonts w:ascii="Times New Roman" w:hAnsi="Times New Roman" w:cs="Times New Roman"/>
          <w:sz w:val="24"/>
          <w:szCs w:val="24"/>
        </w:rPr>
        <w:t xml:space="preserve"> </w:t>
      </w:r>
      <w:r w:rsidR="0049094C" w:rsidRPr="00403E6A">
        <w:rPr>
          <w:rFonts w:ascii="Times New Roman" w:hAnsi="Times New Roman" w:cs="Times New Roman"/>
          <w:sz w:val="24"/>
          <w:szCs w:val="24"/>
        </w:rPr>
        <w:t xml:space="preserve">At the time, </w:t>
      </w:r>
      <w:r w:rsidR="005843F7" w:rsidRPr="00403E6A">
        <w:rPr>
          <w:rFonts w:ascii="Times New Roman" w:hAnsi="Times New Roman" w:cs="Times New Roman"/>
          <w:sz w:val="24"/>
          <w:szCs w:val="24"/>
        </w:rPr>
        <w:t xml:space="preserve">Peter Orszag, </w:t>
      </w:r>
      <w:r w:rsidR="005843F7" w:rsidRPr="00403E6A">
        <w:rPr>
          <w:rFonts w:ascii="Times New Roman" w:hAnsi="Times New Roman" w:cs="Times New Roman"/>
          <w:sz w:val="24"/>
          <w:szCs w:val="24"/>
        </w:rPr>
        <w:lastRenderedPageBreak/>
        <w:t>President Obama’s budget director</w:t>
      </w:r>
      <w:r w:rsidR="007F0C9F" w:rsidRPr="00403E6A">
        <w:rPr>
          <w:rFonts w:ascii="Times New Roman" w:hAnsi="Times New Roman" w:cs="Times New Roman"/>
          <w:sz w:val="24"/>
          <w:szCs w:val="24"/>
        </w:rPr>
        <w:t xml:space="preserve">, cited </w:t>
      </w:r>
      <w:r w:rsidR="009F0116" w:rsidRPr="00403E6A">
        <w:rPr>
          <w:rFonts w:ascii="Times New Roman" w:hAnsi="Times New Roman" w:cs="Times New Roman"/>
          <w:sz w:val="24"/>
          <w:szCs w:val="24"/>
        </w:rPr>
        <w:t>Gawande’s</w:t>
      </w:r>
      <w:r w:rsidR="007F0C9F" w:rsidRPr="00403E6A">
        <w:rPr>
          <w:rFonts w:ascii="Times New Roman" w:hAnsi="Times New Roman" w:cs="Times New Roman"/>
          <w:sz w:val="24"/>
          <w:szCs w:val="24"/>
        </w:rPr>
        <w:t xml:space="preserve"> research and </w:t>
      </w:r>
      <w:r w:rsidR="0049094C" w:rsidRPr="00403E6A">
        <w:rPr>
          <w:rFonts w:ascii="Times New Roman" w:hAnsi="Times New Roman" w:cs="Times New Roman"/>
          <w:sz w:val="24"/>
          <w:szCs w:val="24"/>
        </w:rPr>
        <w:t xml:space="preserve">estimated that </w:t>
      </w:r>
      <w:r w:rsidR="007F0C9F" w:rsidRPr="00403E6A">
        <w:rPr>
          <w:rFonts w:ascii="Times New Roman" w:hAnsi="Times New Roman" w:cs="Times New Roman"/>
          <w:sz w:val="24"/>
          <w:szCs w:val="24"/>
        </w:rPr>
        <w:t>“</w:t>
      </w:r>
      <w:r w:rsidR="00622CB0" w:rsidRPr="00403E6A">
        <w:rPr>
          <w:rFonts w:ascii="Times New Roman" w:hAnsi="Times New Roman" w:cs="Times New Roman"/>
          <w:sz w:val="24"/>
          <w:szCs w:val="24"/>
        </w:rPr>
        <w:t xml:space="preserve">the federal government </w:t>
      </w:r>
      <w:r w:rsidR="005675BD" w:rsidRPr="00403E6A">
        <w:rPr>
          <w:rFonts w:ascii="Times New Roman" w:hAnsi="Times New Roman" w:cs="Times New Roman"/>
          <w:sz w:val="24"/>
          <w:szCs w:val="24"/>
        </w:rPr>
        <w:t xml:space="preserve">could have eliminated </w:t>
      </w:r>
      <w:r w:rsidR="00A51321" w:rsidRPr="00403E6A">
        <w:rPr>
          <w:rFonts w:ascii="Times New Roman" w:hAnsi="Times New Roman" w:cs="Times New Roman"/>
          <w:sz w:val="24"/>
          <w:szCs w:val="24"/>
        </w:rPr>
        <w:t xml:space="preserve">nearly 30% of Medicare spending </w:t>
      </w:r>
      <w:r w:rsidR="003F7AE0" w:rsidRPr="00403E6A">
        <w:rPr>
          <w:rFonts w:ascii="Times New Roman" w:hAnsi="Times New Roman" w:cs="Times New Roman"/>
          <w:sz w:val="24"/>
          <w:szCs w:val="24"/>
        </w:rPr>
        <w:t>without sacrificing quality of outcomes if higher-spending regions mirrored utilization patter</w:t>
      </w:r>
      <w:r w:rsidR="00130450" w:rsidRPr="00403E6A">
        <w:rPr>
          <w:rFonts w:ascii="Times New Roman" w:hAnsi="Times New Roman" w:cs="Times New Roman"/>
          <w:sz w:val="24"/>
          <w:szCs w:val="24"/>
        </w:rPr>
        <w:t xml:space="preserve">ns </w:t>
      </w:r>
      <w:r w:rsidR="003C6485" w:rsidRPr="00403E6A">
        <w:rPr>
          <w:rFonts w:ascii="Times New Roman" w:hAnsi="Times New Roman" w:cs="Times New Roman"/>
          <w:sz w:val="24"/>
          <w:szCs w:val="24"/>
        </w:rPr>
        <w:t>of lower-spending regions.</w:t>
      </w:r>
      <w:r w:rsidR="007F0C9F" w:rsidRPr="00403E6A">
        <w:rPr>
          <w:rFonts w:ascii="Times New Roman" w:hAnsi="Times New Roman" w:cs="Times New Roman"/>
          <w:sz w:val="24"/>
          <w:szCs w:val="24"/>
        </w:rPr>
        <w:t>”</w:t>
      </w:r>
      <w:r w:rsidR="004A1107">
        <w:rPr>
          <w:rStyle w:val="FootnoteReference"/>
          <w:rFonts w:ascii="Times New Roman" w:hAnsi="Times New Roman" w:cs="Times New Roman"/>
          <w:sz w:val="24"/>
          <w:szCs w:val="24"/>
        </w:rPr>
        <w:footnoteReference w:id="62"/>
      </w:r>
      <w:r w:rsidR="003C6485" w:rsidRPr="00403E6A">
        <w:rPr>
          <w:rFonts w:ascii="Times New Roman" w:hAnsi="Times New Roman" w:cs="Times New Roman"/>
          <w:sz w:val="24"/>
          <w:szCs w:val="24"/>
        </w:rPr>
        <w:t xml:space="preserve"> </w:t>
      </w:r>
      <w:r w:rsidR="00742252" w:rsidRPr="00403E6A">
        <w:rPr>
          <w:rFonts w:ascii="Times New Roman" w:hAnsi="Times New Roman" w:cs="Times New Roman"/>
          <w:sz w:val="24"/>
          <w:szCs w:val="24"/>
        </w:rPr>
        <w:t>T</w:t>
      </w:r>
      <w:r w:rsidR="000957CA" w:rsidRPr="00403E6A">
        <w:rPr>
          <w:rFonts w:ascii="Times New Roman" w:hAnsi="Times New Roman" w:cs="Times New Roman"/>
          <w:sz w:val="24"/>
          <w:szCs w:val="24"/>
        </w:rPr>
        <w:t xml:space="preserve">his </w:t>
      </w:r>
      <w:r w:rsidR="0010444D" w:rsidRPr="00403E6A">
        <w:rPr>
          <w:rFonts w:ascii="Times New Roman" w:hAnsi="Times New Roman" w:cs="Times New Roman"/>
          <w:sz w:val="24"/>
          <w:szCs w:val="24"/>
        </w:rPr>
        <w:t>research</w:t>
      </w:r>
      <w:r w:rsidR="000957CA" w:rsidRPr="00403E6A">
        <w:rPr>
          <w:rFonts w:ascii="Times New Roman" w:hAnsi="Times New Roman" w:cs="Times New Roman"/>
          <w:sz w:val="24"/>
          <w:szCs w:val="24"/>
        </w:rPr>
        <w:t xml:space="preserve"> </w:t>
      </w:r>
      <w:r w:rsidR="001B144E" w:rsidRPr="00403E6A">
        <w:rPr>
          <w:rFonts w:ascii="Times New Roman" w:hAnsi="Times New Roman" w:cs="Times New Roman"/>
          <w:sz w:val="24"/>
          <w:szCs w:val="24"/>
        </w:rPr>
        <w:t>led</w:t>
      </w:r>
      <w:r w:rsidR="00742252" w:rsidRPr="00403E6A">
        <w:rPr>
          <w:rFonts w:ascii="Times New Roman" w:hAnsi="Times New Roman" w:cs="Times New Roman"/>
          <w:sz w:val="24"/>
          <w:szCs w:val="24"/>
        </w:rPr>
        <w:t xml:space="preserve"> </w:t>
      </w:r>
      <w:r w:rsidR="000957CA" w:rsidRPr="00403E6A">
        <w:rPr>
          <w:rFonts w:ascii="Times New Roman" w:hAnsi="Times New Roman" w:cs="Times New Roman"/>
          <w:sz w:val="24"/>
          <w:szCs w:val="24"/>
        </w:rPr>
        <w:t xml:space="preserve">several leading health economists </w:t>
      </w:r>
      <w:r w:rsidR="00742252" w:rsidRPr="00403E6A">
        <w:rPr>
          <w:rFonts w:ascii="Times New Roman" w:hAnsi="Times New Roman" w:cs="Times New Roman"/>
          <w:sz w:val="24"/>
          <w:szCs w:val="24"/>
        </w:rPr>
        <w:t xml:space="preserve">to </w:t>
      </w:r>
      <w:r w:rsidR="000957CA" w:rsidRPr="00403E6A">
        <w:rPr>
          <w:rFonts w:ascii="Times New Roman" w:hAnsi="Times New Roman" w:cs="Times New Roman"/>
          <w:sz w:val="24"/>
          <w:szCs w:val="24"/>
        </w:rPr>
        <w:t xml:space="preserve">argue that to </w:t>
      </w:r>
      <w:r w:rsidR="00446CA7" w:rsidRPr="00403E6A">
        <w:rPr>
          <w:rFonts w:ascii="Times New Roman" w:hAnsi="Times New Roman" w:cs="Times New Roman"/>
          <w:sz w:val="24"/>
          <w:szCs w:val="24"/>
        </w:rPr>
        <w:t>decrease</w:t>
      </w:r>
      <w:r w:rsidR="000957CA" w:rsidRPr="00403E6A">
        <w:rPr>
          <w:rFonts w:ascii="Times New Roman" w:hAnsi="Times New Roman" w:cs="Times New Roman"/>
          <w:sz w:val="24"/>
          <w:szCs w:val="24"/>
        </w:rPr>
        <w:t xml:space="preserve"> cost</w:t>
      </w:r>
      <w:r w:rsidR="00446CA7" w:rsidRPr="00403E6A">
        <w:rPr>
          <w:rFonts w:ascii="Times New Roman" w:hAnsi="Times New Roman" w:cs="Times New Roman"/>
          <w:sz w:val="24"/>
          <w:szCs w:val="24"/>
        </w:rPr>
        <w:t>s</w:t>
      </w:r>
      <w:r w:rsidR="000957CA" w:rsidRPr="00403E6A">
        <w:rPr>
          <w:rFonts w:ascii="Times New Roman" w:hAnsi="Times New Roman" w:cs="Times New Roman"/>
          <w:sz w:val="24"/>
          <w:szCs w:val="24"/>
        </w:rPr>
        <w:t xml:space="preserve">, the U.S. health care system needed to </w:t>
      </w:r>
      <w:r w:rsidR="00512E9B" w:rsidRPr="00403E6A">
        <w:rPr>
          <w:rFonts w:ascii="Times New Roman" w:hAnsi="Times New Roman" w:cs="Times New Roman"/>
          <w:sz w:val="24"/>
          <w:szCs w:val="24"/>
        </w:rPr>
        <w:t xml:space="preserve">reform </w:t>
      </w:r>
      <w:r w:rsidR="000957CA" w:rsidRPr="00403E6A">
        <w:rPr>
          <w:rFonts w:ascii="Times New Roman" w:hAnsi="Times New Roman" w:cs="Times New Roman"/>
          <w:sz w:val="24"/>
          <w:szCs w:val="24"/>
        </w:rPr>
        <w:t>its payment and delivery systems to disincentivize and reduce overutilization, and to instead reward coordination, quality, and efficiency.</w:t>
      </w:r>
      <w:r w:rsidR="00D3435A">
        <w:rPr>
          <w:rStyle w:val="FootnoteReference"/>
          <w:rFonts w:ascii="Times New Roman" w:hAnsi="Times New Roman" w:cs="Times New Roman"/>
          <w:sz w:val="24"/>
          <w:szCs w:val="24"/>
        </w:rPr>
        <w:footnoteReference w:id="63"/>
      </w:r>
      <w:r w:rsidR="001B144E" w:rsidRPr="00403E6A">
        <w:rPr>
          <w:rFonts w:ascii="Times New Roman" w:hAnsi="Times New Roman" w:cs="Times New Roman"/>
          <w:sz w:val="24"/>
          <w:szCs w:val="24"/>
        </w:rPr>
        <w:t xml:space="preserve"> </w:t>
      </w:r>
      <w:r w:rsidR="00307361" w:rsidRPr="00403E6A">
        <w:rPr>
          <w:rFonts w:ascii="Times New Roman" w:hAnsi="Times New Roman" w:cs="Times New Roman"/>
          <w:sz w:val="24"/>
          <w:szCs w:val="24"/>
        </w:rPr>
        <w:t>This result</w:t>
      </w:r>
      <w:r w:rsidR="001A787F" w:rsidRPr="00403E6A">
        <w:rPr>
          <w:rFonts w:ascii="Times New Roman" w:hAnsi="Times New Roman" w:cs="Times New Roman"/>
          <w:sz w:val="24"/>
          <w:szCs w:val="24"/>
        </w:rPr>
        <w:t>ed</w:t>
      </w:r>
      <w:r w:rsidR="00307361" w:rsidRPr="00403E6A">
        <w:rPr>
          <w:rFonts w:ascii="Times New Roman" w:hAnsi="Times New Roman" w:cs="Times New Roman"/>
          <w:sz w:val="24"/>
          <w:szCs w:val="24"/>
        </w:rPr>
        <w:t xml:space="preserve"> in </w:t>
      </w:r>
      <w:r w:rsidR="00212835" w:rsidRPr="00403E6A">
        <w:rPr>
          <w:rFonts w:ascii="Times New Roman" w:hAnsi="Times New Roman" w:cs="Times New Roman"/>
          <w:sz w:val="24"/>
          <w:szCs w:val="24"/>
        </w:rPr>
        <w:t xml:space="preserve">ACA provisions </w:t>
      </w:r>
      <w:r w:rsidR="00307361" w:rsidRPr="00403E6A">
        <w:rPr>
          <w:rFonts w:ascii="Times New Roman" w:hAnsi="Times New Roman" w:cs="Times New Roman"/>
          <w:sz w:val="24"/>
          <w:szCs w:val="24"/>
        </w:rPr>
        <w:t xml:space="preserve">such </w:t>
      </w:r>
      <w:r w:rsidR="00DE634A" w:rsidRPr="00403E6A">
        <w:rPr>
          <w:rFonts w:ascii="Times New Roman" w:hAnsi="Times New Roman" w:cs="Times New Roman"/>
          <w:sz w:val="24"/>
          <w:szCs w:val="24"/>
        </w:rPr>
        <w:t xml:space="preserve">as the Medicare </w:t>
      </w:r>
      <w:r w:rsidR="00291946" w:rsidRPr="00403E6A">
        <w:rPr>
          <w:rFonts w:ascii="Times New Roman" w:hAnsi="Times New Roman" w:cs="Times New Roman"/>
          <w:sz w:val="24"/>
          <w:szCs w:val="24"/>
        </w:rPr>
        <w:t xml:space="preserve">Shared </w:t>
      </w:r>
      <w:r w:rsidR="00DE634A" w:rsidRPr="00403E6A">
        <w:rPr>
          <w:rFonts w:ascii="Times New Roman" w:hAnsi="Times New Roman" w:cs="Times New Roman"/>
          <w:sz w:val="24"/>
          <w:szCs w:val="24"/>
        </w:rPr>
        <w:t>Savings Program</w:t>
      </w:r>
      <w:r w:rsidR="00212835" w:rsidRPr="00403E6A">
        <w:rPr>
          <w:rFonts w:ascii="Times New Roman" w:hAnsi="Times New Roman" w:cs="Times New Roman"/>
          <w:sz w:val="24"/>
          <w:szCs w:val="24"/>
        </w:rPr>
        <w:t xml:space="preserve"> (MSSP)</w:t>
      </w:r>
      <w:r w:rsidR="00DE634A" w:rsidRPr="00403E6A">
        <w:rPr>
          <w:rFonts w:ascii="Times New Roman" w:hAnsi="Times New Roman" w:cs="Times New Roman"/>
          <w:sz w:val="24"/>
          <w:szCs w:val="24"/>
        </w:rPr>
        <w:t>,</w:t>
      </w:r>
      <w:r w:rsidR="008624F6" w:rsidRPr="00403E6A">
        <w:rPr>
          <w:rFonts w:ascii="Times New Roman" w:hAnsi="Times New Roman" w:cs="Times New Roman"/>
          <w:sz w:val="24"/>
          <w:szCs w:val="24"/>
        </w:rPr>
        <w:t xml:space="preserve"> </w:t>
      </w:r>
      <w:r w:rsidR="00F4229F" w:rsidRPr="00403E6A">
        <w:rPr>
          <w:rFonts w:ascii="Times New Roman" w:hAnsi="Times New Roman" w:cs="Times New Roman"/>
          <w:sz w:val="24"/>
          <w:szCs w:val="24"/>
        </w:rPr>
        <w:t xml:space="preserve">the </w:t>
      </w:r>
      <w:r w:rsidR="00DE634A" w:rsidRPr="00403E6A">
        <w:rPr>
          <w:rFonts w:ascii="Times New Roman" w:hAnsi="Times New Roman" w:cs="Times New Roman"/>
          <w:sz w:val="24"/>
          <w:szCs w:val="24"/>
        </w:rPr>
        <w:t>Hospital Value-Based Purchasing Program</w:t>
      </w:r>
      <w:r w:rsidR="006324B6" w:rsidRPr="00403E6A">
        <w:rPr>
          <w:rFonts w:ascii="Times New Roman" w:hAnsi="Times New Roman" w:cs="Times New Roman"/>
          <w:sz w:val="24"/>
          <w:szCs w:val="24"/>
        </w:rPr>
        <w:t>,</w:t>
      </w:r>
      <w:r w:rsidR="008624F6" w:rsidRPr="00403E6A">
        <w:rPr>
          <w:rFonts w:ascii="Times New Roman" w:hAnsi="Times New Roman" w:cs="Times New Roman"/>
          <w:sz w:val="24"/>
          <w:szCs w:val="24"/>
        </w:rPr>
        <w:t xml:space="preserve"> </w:t>
      </w:r>
      <w:r w:rsidR="00B21C24" w:rsidRPr="00403E6A">
        <w:rPr>
          <w:rFonts w:ascii="Times New Roman" w:hAnsi="Times New Roman" w:cs="Times New Roman"/>
          <w:sz w:val="24"/>
          <w:szCs w:val="24"/>
        </w:rPr>
        <w:t>and the National Pilot Progra</w:t>
      </w:r>
      <w:r w:rsidR="00B424A5" w:rsidRPr="00403E6A">
        <w:rPr>
          <w:rFonts w:ascii="Times New Roman" w:hAnsi="Times New Roman" w:cs="Times New Roman"/>
          <w:sz w:val="24"/>
          <w:szCs w:val="24"/>
        </w:rPr>
        <w:t>m</w:t>
      </w:r>
      <w:r w:rsidR="00B21C24" w:rsidRPr="00403E6A">
        <w:rPr>
          <w:rFonts w:ascii="Times New Roman" w:hAnsi="Times New Roman" w:cs="Times New Roman"/>
          <w:sz w:val="24"/>
          <w:szCs w:val="24"/>
        </w:rPr>
        <w:t xml:space="preserve"> on Bundling</w:t>
      </w:r>
      <w:bookmarkStart w:id="1" w:name="_Hlk67077306"/>
      <w:r w:rsidR="00F539D3" w:rsidRPr="00403E6A">
        <w:rPr>
          <w:rFonts w:ascii="Times New Roman" w:hAnsi="Times New Roman" w:cs="Times New Roman"/>
          <w:sz w:val="24"/>
          <w:szCs w:val="24"/>
        </w:rPr>
        <w:t>.</w:t>
      </w:r>
      <w:r w:rsidR="004134DD">
        <w:rPr>
          <w:rStyle w:val="FootnoteReference"/>
          <w:rFonts w:ascii="Times New Roman" w:hAnsi="Times New Roman" w:cs="Times New Roman"/>
          <w:sz w:val="24"/>
          <w:szCs w:val="24"/>
        </w:rPr>
        <w:footnoteReference w:id="64"/>
      </w:r>
      <w:r w:rsidR="00F539D3" w:rsidRPr="00403E6A">
        <w:rPr>
          <w:rFonts w:ascii="Times New Roman" w:hAnsi="Times New Roman" w:cs="Times New Roman"/>
          <w:sz w:val="24"/>
          <w:szCs w:val="24"/>
        </w:rPr>
        <w:t xml:space="preserve"> </w:t>
      </w:r>
      <w:bookmarkEnd w:id="1"/>
      <w:r w:rsidR="003B4CC1" w:rsidRPr="00403E6A">
        <w:rPr>
          <w:rFonts w:ascii="Times New Roman" w:hAnsi="Times New Roman" w:cs="Times New Roman"/>
          <w:sz w:val="24"/>
          <w:szCs w:val="24"/>
        </w:rPr>
        <w:t>Specifically, t</w:t>
      </w:r>
      <w:r w:rsidR="00993148" w:rsidRPr="00403E6A">
        <w:rPr>
          <w:rFonts w:ascii="Times New Roman" w:hAnsi="Times New Roman" w:cs="Times New Roman"/>
          <w:sz w:val="24"/>
          <w:szCs w:val="24"/>
        </w:rPr>
        <w:t xml:space="preserve">he </w:t>
      </w:r>
      <w:r w:rsidR="00472198" w:rsidRPr="00403E6A">
        <w:rPr>
          <w:rFonts w:ascii="Times New Roman" w:hAnsi="Times New Roman" w:cs="Times New Roman"/>
          <w:sz w:val="24"/>
          <w:szCs w:val="24"/>
        </w:rPr>
        <w:t>MSSP</w:t>
      </w:r>
      <w:r w:rsidR="00993148" w:rsidRPr="00403E6A">
        <w:rPr>
          <w:rFonts w:ascii="Times New Roman" w:hAnsi="Times New Roman" w:cs="Times New Roman"/>
          <w:sz w:val="24"/>
          <w:szCs w:val="24"/>
        </w:rPr>
        <w:t xml:space="preserve"> </w:t>
      </w:r>
      <w:r w:rsidR="00AD1E31" w:rsidRPr="00403E6A">
        <w:rPr>
          <w:rFonts w:ascii="Times New Roman" w:hAnsi="Times New Roman" w:cs="Times New Roman"/>
          <w:sz w:val="24"/>
          <w:szCs w:val="24"/>
        </w:rPr>
        <w:t xml:space="preserve">attempted to reform </w:t>
      </w:r>
      <w:r w:rsidR="002C5EDE" w:rsidRPr="00403E6A">
        <w:rPr>
          <w:rFonts w:ascii="Times New Roman" w:hAnsi="Times New Roman" w:cs="Times New Roman"/>
          <w:sz w:val="24"/>
          <w:szCs w:val="24"/>
        </w:rPr>
        <w:t xml:space="preserve">the Center for Medicare &amp; Medicaid Services </w:t>
      </w:r>
      <w:r w:rsidR="00001CBC" w:rsidRPr="00403E6A">
        <w:rPr>
          <w:rFonts w:ascii="Times New Roman" w:hAnsi="Times New Roman" w:cs="Times New Roman"/>
          <w:sz w:val="24"/>
          <w:szCs w:val="24"/>
        </w:rPr>
        <w:t xml:space="preserve">(CMS) </w:t>
      </w:r>
      <w:r w:rsidR="002C5EDE" w:rsidRPr="00403E6A">
        <w:rPr>
          <w:rFonts w:ascii="Times New Roman" w:hAnsi="Times New Roman" w:cs="Times New Roman"/>
          <w:sz w:val="24"/>
          <w:szCs w:val="24"/>
        </w:rPr>
        <w:t>payment system</w:t>
      </w:r>
      <w:r w:rsidR="0067642B" w:rsidRPr="00403E6A">
        <w:rPr>
          <w:rFonts w:ascii="Times New Roman" w:hAnsi="Times New Roman" w:cs="Times New Roman"/>
          <w:sz w:val="24"/>
          <w:szCs w:val="24"/>
        </w:rPr>
        <w:t xml:space="preserve"> away </w:t>
      </w:r>
      <w:r w:rsidR="00D877E4" w:rsidRPr="00403E6A">
        <w:rPr>
          <w:rFonts w:ascii="Times New Roman" w:hAnsi="Times New Roman" w:cs="Times New Roman"/>
          <w:sz w:val="24"/>
          <w:szCs w:val="24"/>
        </w:rPr>
        <w:t xml:space="preserve">from </w:t>
      </w:r>
      <w:r w:rsidR="00D2092F" w:rsidRPr="00403E6A">
        <w:rPr>
          <w:rFonts w:ascii="Times New Roman" w:hAnsi="Times New Roman" w:cs="Times New Roman"/>
          <w:sz w:val="24"/>
          <w:szCs w:val="24"/>
        </w:rPr>
        <w:t xml:space="preserve">one that incentivized </w:t>
      </w:r>
      <w:r w:rsidR="00AD1E31" w:rsidRPr="00403E6A">
        <w:rPr>
          <w:rFonts w:ascii="Times New Roman" w:hAnsi="Times New Roman" w:cs="Times New Roman"/>
          <w:sz w:val="24"/>
          <w:szCs w:val="24"/>
        </w:rPr>
        <w:t xml:space="preserve">volume </w:t>
      </w:r>
      <w:r w:rsidR="00D2092F" w:rsidRPr="00403E6A">
        <w:rPr>
          <w:rFonts w:ascii="Times New Roman" w:hAnsi="Times New Roman" w:cs="Times New Roman"/>
          <w:sz w:val="24"/>
          <w:szCs w:val="24"/>
        </w:rPr>
        <w:t>care to quality care.</w:t>
      </w:r>
      <w:r w:rsidR="00785FE0">
        <w:rPr>
          <w:rStyle w:val="FootnoteReference"/>
          <w:rFonts w:ascii="Times New Roman" w:hAnsi="Times New Roman" w:cs="Times New Roman"/>
          <w:sz w:val="24"/>
          <w:szCs w:val="24"/>
        </w:rPr>
        <w:footnoteReference w:id="65"/>
      </w:r>
      <w:r w:rsidR="00D2092F" w:rsidRPr="00403E6A">
        <w:rPr>
          <w:rFonts w:ascii="Times New Roman" w:hAnsi="Times New Roman" w:cs="Times New Roman"/>
          <w:sz w:val="24"/>
          <w:szCs w:val="24"/>
        </w:rPr>
        <w:t xml:space="preserve"> </w:t>
      </w:r>
      <w:r w:rsidR="001F0ADF" w:rsidRPr="00403E6A">
        <w:rPr>
          <w:rFonts w:ascii="Times New Roman" w:hAnsi="Times New Roman" w:cs="Times New Roman"/>
          <w:sz w:val="24"/>
          <w:szCs w:val="24"/>
        </w:rPr>
        <w:t xml:space="preserve">The program </w:t>
      </w:r>
      <w:r w:rsidR="00001CBC" w:rsidRPr="00403E6A">
        <w:rPr>
          <w:rFonts w:ascii="Times New Roman" w:hAnsi="Times New Roman" w:cs="Times New Roman"/>
          <w:sz w:val="24"/>
          <w:szCs w:val="24"/>
        </w:rPr>
        <w:t xml:space="preserve">has </w:t>
      </w:r>
      <w:r w:rsidR="001F0ADF" w:rsidRPr="00403E6A">
        <w:rPr>
          <w:rFonts w:ascii="Times New Roman" w:hAnsi="Times New Roman" w:cs="Times New Roman"/>
          <w:sz w:val="24"/>
          <w:szCs w:val="24"/>
        </w:rPr>
        <w:t>encourage</w:t>
      </w:r>
      <w:r w:rsidR="00001CBC" w:rsidRPr="00403E6A">
        <w:rPr>
          <w:rFonts w:ascii="Times New Roman" w:hAnsi="Times New Roman" w:cs="Times New Roman"/>
          <w:sz w:val="24"/>
          <w:szCs w:val="24"/>
        </w:rPr>
        <w:t>d</w:t>
      </w:r>
      <w:r w:rsidR="001F0ADF" w:rsidRPr="00403E6A">
        <w:rPr>
          <w:rFonts w:ascii="Times New Roman" w:hAnsi="Times New Roman" w:cs="Times New Roman"/>
          <w:sz w:val="24"/>
          <w:szCs w:val="24"/>
        </w:rPr>
        <w:t xml:space="preserve"> providers to </w:t>
      </w:r>
      <w:r w:rsidR="00111226" w:rsidRPr="00403E6A">
        <w:rPr>
          <w:rFonts w:ascii="Times New Roman" w:hAnsi="Times New Roman" w:cs="Times New Roman"/>
          <w:sz w:val="24"/>
          <w:szCs w:val="24"/>
        </w:rPr>
        <w:t>formulate</w:t>
      </w:r>
      <w:r w:rsidR="00001CBC" w:rsidRPr="00403E6A">
        <w:rPr>
          <w:rFonts w:ascii="Times New Roman" w:hAnsi="Times New Roman" w:cs="Times New Roman"/>
          <w:sz w:val="24"/>
          <w:szCs w:val="24"/>
        </w:rPr>
        <w:t xml:space="preserve"> Accountable Care Organization</w:t>
      </w:r>
      <w:r w:rsidR="007B45B6" w:rsidRPr="00403E6A">
        <w:rPr>
          <w:rFonts w:ascii="Times New Roman" w:hAnsi="Times New Roman" w:cs="Times New Roman"/>
          <w:sz w:val="24"/>
          <w:szCs w:val="24"/>
        </w:rPr>
        <w:t>s</w:t>
      </w:r>
      <w:r w:rsidR="006C12C0" w:rsidRPr="00403E6A">
        <w:rPr>
          <w:rFonts w:ascii="Times New Roman" w:hAnsi="Times New Roman" w:cs="Times New Roman"/>
          <w:sz w:val="24"/>
          <w:szCs w:val="24"/>
        </w:rPr>
        <w:t xml:space="preserve"> </w:t>
      </w:r>
      <w:r w:rsidR="00001CBC" w:rsidRPr="00403E6A">
        <w:rPr>
          <w:rFonts w:ascii="Times New Roman" w:hAnsi="Times New Roman" w:cs="Times New Roman"/>
          <w:sz w:val="24"/>
          <w:szCs w:val="24"/>
        </w:rPr>
        <w:t>(ACO</w:t>
      </w:r>
      <w:r w:rsidR="00AF4117" w:rsidRPr="00403E6A">
        <w:rPr>
          <w:rFonts w:ascii="Times New Roman" w:hAnsi="Times New Roman" w:cs="Times New Roman"/>
          <w:sz w:val="24"/>
          <w:szCs w:val="24"/>
        </w:rPr>
        <w:t>s</w:t>
      </w:r>
      <w:r w:rsidR="00001CBC" w:rsidRPr="00403E6A">
        <w:rPr>
          <w:rFonts w:ascii="Times New Roman" w:hAnsi="Times New Roman" w:cs="Times New Roman"/>
          <w:sz w:val="24"/>
          <w:szCs w:val="24"/>
        </w:rPr>
        <w:t>)</w:t>
      </w:r>
      <w:r w:rsidR="008D629E" w:rsidRPr="00403E6A">
        <w:rPr>
          <w:rFonts w:ascii="Times New Roman" w:hAnsi="Times New Roman" w:cs="Times New Roman"/>
          <w:sz w:val="24"/>
          <w:szCs w:val="24"/>
        </w:rPr>
        <w:t xml:space="preserve">, which </w:t>
      </w:r>
      <w:r w:rsidR="001B308E" w:rsidRPr="00403E6A">
        <w:rPr>
          <w:rFonts w:ascii="Times New Roman" w:hAnsi="Times New Roman" w:cs="Times New Roman"/>
          <w:sz w:val="24"/>
          <w:szCs w:val="24"/>
        </w:rPr>
        <w:t>were proposed</w:t>
      </w:r>
      <w:r w:rsidR="008440E4" w:rsidRPr="00403E6A">
        <w:rPr>
          <w:rFonts w:ascii="Times New Roman" w:hAnsi="Times New Roman" w:cs="Times New Roman"/>
          <w:sz w:val="24"/>
          <w:szCs w:val="24"/>
        </w:rPr>
        <w:t xml:space="preserve"> to</w:t>
      </w:r>
      <w:r w:rsidR="001B308E" w:rsidRPr="00403E6A">
        <w:rPr>
          <w:rFonts w:ascii="Times New Roman" w:hAnsi="Times New Roman" w:cs="Times New Roman"/>
          <w:sz w:val="24"/>
          <w:szCs w:val="24"/>
        </w:rPr>
        <w:t xml:space="preserve"> </w:t>
      </w:r>
      <w:r w:rsidR="005B54ED" w:rsidRPr="00403E6A">
        <w:rPr>
          <w:rFonts w:ascii="Times New Roman" w:hAnsi="Times New Roman" w:cs="Times New Roman"/>
          <w:sz w:val="24"/>
          <w:szCs w:val="24"/>
        </w:rPr>
        <w:t xml:space="preserve">promote care coordination </w:t>
      </w:r>
      <w:r w:rsidR="001B308E" w:rsidRPr="00403E6A">
        <w:rPr>
          <w:rFonts w:ascii="Times New Roman" w:hAnsi="Times New Roman" w:cs="Times New Roman"/>
          <w:sz w:val="24"/>
          <w:szCs w:val="24"/>
        </w:rPr>
        <w:t xml:space="preserve">to reduce unnecessary medical care and improve health outcomes, </w:t>
      </w:r>
      <w:r w:rsidR="009E605C" w:rsidRPr="00403E6A">
        <w:rPr>
          <w:rFonts w:ascii="Times New Roman" w:hAnsi="Times New Roman" w:cs="Times New Roman"/>
          <w:sz w:val="24"/>
          <w:szCs w:val="24"/>
        </w:rPr>
        <w:t xml:space="preserve">while </w:t>
      </w:r>
      <w:r w:rsidR="001B308E" w:rsidRPr="00403E6A">
        <w:rPr>
          <w:rFonts w:ascii="Times New Roman" w:hAnsi="Times New Roman" w:cs="Times New Roman"/>
          <w:sz w:val="24"/>
          <w:szCs w:val="24"/>
        </w:rPr>
        <w:t xml:space="preserve">reducing utilization of </w:t>
      </w:r>
      <w:r w:rsidR="00864AC6" w:rsidRPr="00403E6A">
        <w:rPr>
          <w:rFonts w:ascii="Times New Roman" w:hAnsi="Times New Roman" w:cs="Times New Roman"/>
          <w:sz w:val="24"/>
          <w:szCs w:val="24"/>
        </w:rPr>
        <w:t>critical</w:t>
      </w:r>
      <w:r w:rsidR="001B308E" w:rsidRPr="00403E6A">
        <w:rPr>
          <w:rFonts w:ascii="Times New Roman" w:hAnsi="Times New Roman" w:cs="Times New Roman"/>
          <w:sz w:val="24"/>
          <w:szCs w:val="24"/>
        </w:rPr>
        <w:t xml:space="preserve"> care services</w:t>
      </w:r>
      <w:r w:rsidR="005C174B" w:rsidRPr="00403E6A">
        <w:rPr>
          <w:rFonts w:ascii="Times New Roman" w:hAnsi="Times New Roman" w:cs="Times New Roman"/>
          <w:sz w:val="24"/>
          <w:szCs w:val="24"/>
        </w:rPr>
        <w:t>.</w:t>
      </w:r>
      <w:r w:rsidR="006C12C0">
        <w:rPr>
          <w:rStyle w:val="FootnoteReference"/>
          <w:rFonts w:ascii="Times New Roman" w:hAnsi="Times New Roman" w:cs="Times New Roman"/>
          <w:sz w:val="24"/>
          <w:szCs w:val="24"/>
        </w:rPr>
        <w:footnoteReference w:id="66"/>
      </w:r>
      <w:r w:rsidR="005C174B" w:rsidRPr="00403E6A">
        <w:rPr>
          <w:rFonts w:ascii="Times New Roman" w:hAnsi="Times New Roman" w:cs="Times New Roman"/>
          <w:sz w:val="24"/>
          <w:szCs w:val="24"/>
        </w:rPr>
        <w:t xml:space="preserve"> </w:t>
      </w:r>
      <w:r w:rsidR="008C3546" w:rsidRPr="00403E6A">
        <w:rPr>
          <w:rFonts w:ascii="Times New Roman" w:hAnsi="Times New Roman" w:cs="Times New Roman"/>
          <w:sz w:val="24"/>
          <w:szCs w:val="24"/>
        </w:rPr>
        <w:t xml:space="preserve">Although the verbiage of the MSSP </w:t>
      </w:r>
      <w:r w:rsidR="00014332" w:rsidRPr="00403E6A">
        <w:rPr>
          <w:rFonts w:ascii="Times New Roman" w:hAnsi="Times New Roman" w:cs="Times New Roman"/>
          <w:sz w:val="24"/>
          <w:szCs w:val="24"/>
        </w:rPr>
        <w:t xml:space="preserve">incentivizes </w:t>
      </w:r>
      <w:r w:rsidR="0080256D" w:rsidRPr="00403E6A">
        <w:rPr>
          <w:rFonts w:ascii="Times New Roman" w:hAnsi="Times New Roman" w:cs="Times New Roman"/>
          <w:sz w:val="24"/>
          <w:szCs w:val="24"/>
        </w:rPr>
        <w:t xml:space="preserve">providers </w:t>
      </w:r>
      <w:r w:rsidR="000416BD" w:rsidRPr="00403E6A">
        <w:rPr>
          <w:rFonts w:ascii="Times New Roman" w:hAnsi="Times New Roman" w:cs="Times New Roman"/>
          <w:sz w:val="24"/>
          <w:szCs w:val="24"/>
        </w:rPr>
        <w:t xml:space="preserve">to </w:t>
      </w:r>
      <w:r w:rsidR="00FB3151" w:rsidRPr="00403E6A">
        <w:rPr>
          <w:rFonts w:ascii="Times New Roman" w:hAnsi="Times New Roman" w:cs="Times New Roman"/>
          <w:sz w:val="24"/>
          <w:szCs w:val="24"/>
        </w:rPr>
        <w:t xml:space="preserve">formulate </w:t>
      </w:r>
      <w:r w:rsidR="000416BD" w:rsidRPr="00403E6A">
        <w:rPr>
          <w:rFonts w:ascii="Times New Roman" w:hAnsi="Times New Roman" w:cs="Times New Roman"/>
          <w:sz w:val="24"/>
          <w:szCs w:val="24"/>
        </w:rPr>
        <w:t xml:space="preserve">ACOs </w:t>
      </w:r>
      <w:r w:rsidR="00FB3151" w:rsidRPr="00403E6A">
        <w:rPr>
          <w:rFonts w:ascii="Times New Roman" w:hAnsi="Times New Roman" w:cs="Times New Roman"/>
          <w:sz w:val="24"/>
          <w:szCs w:val="24"/>
        </w:rPr>
        <w:t xml:space="preserve">for </w:t>
      </w:r>
      <w:r w:rsidR="000416BD" w:rsidRPr="00403E6A">
        <w:rPr>
          <w:rFonts w:ascii="Times New Roman" w:hAnsi="Times New Roman" w:cs="Times New Roman"/>
          <w:sz w:val="24"/>
          <w:szCs w:val="24"/>
        </w:rPr>
        <w:t xml:space="preserve">Medicare </w:t>
      </w:r>
      <w:r w:rsidR="00FB3151" w:rsidRPr="00403E6A">
        <w:rPr>
          <w:rFonts w:ascii="Times New Roman" w:hAnsi="Times New Roman" w:cs="Times New Roman"/>
          <w:sz w:val="24"/>
          <w:szCs w:val="24"/>
        </w:rPr>
        <w:t xml:space="preserve">beneficiaries, </w:t>
      </w:r>
      <w:r w:rsidR="00014332" w:rsidRPr="00403E6A">
        <w:rPr>
          <w:rFonts w:ascii="Times New Roman" w:hAnsi="Times New Roman" w:cs="Times New Roman"/>
          <w:sz w:val="24"/>
          <w:szCs w:val="24"/>
        </w:rPr>
        <w:t xml:space="preserve">the intent was </w:t>
      </w:r>
      <w:r w:rsidR="0001319D" w:rsidRPr="00403E6A">
        <w:rPr>
          <w:rFonts w:ascii="Times New Roman" w:hAnsi="Times New Roman" w:cs="Times New Roman"/>
          <w:sz w:val="24"/>
          <w:szCs w:val="24"/>
        </w:rPr>
        <w:t xml:space="preserve">that private </w:t>
      </w:r>
      <w:r w:rsidR="0073528A" w:rsidRPr="00403E6A">
        <w:rPr>
          <w:rFonts w:ascii="Times New Roman" w:hAnsi="Times New Roman" w:cs="Times New Roman"/>
          <w:sz w:val="24"/>
          <w:szCs w:val="24"/>
        </w:rPr>
        <w:t>insurers</w:t>
      </w:r>
      <w:r w:rsidR="0001319D" w:rsidRPr="00403E6A">
        <w:rPr>
          <w:rFonts w:ascii="Times New Roman" w:hAnsi="Times New Roman" w:cs="Times New Roman"/>
          <w:sz w:val="24"/>
          <w:szCs w:val="24"/>
        </w:rPr>
        <w:t xml:space="preserve"> would </w:t>
      </w:r>
      <w:r w:rsidR="00540BE5">
        <w:rPr>
          <w:rFonts w:ascii="Times New Roman" w:hAnsi="Times New Roman" w:cs="Times New Roman"/>
          <w:sz w:val="24"/>
          <w:szCs w:val="24"/>
        </w:rPr>
        <w:t xml:space="preserve">pursue </w:t>
      </w:r>
      <w:r w:rsidR="0001319D" w:rsidRPr="00403E6A">
        <w:rPr>
          <w:rFonts w:ascii="Times New Roman" w:hAnsi="Times New Roman" w:cs="Times New Roman"/>
          <w:sz w:val="24"/>
          <w:szCs w:val="24"/>
        </w:rPr>
        <w:t xml:space="preserve">the </w:t>
      </w:r>
      <w:r w:rsidR="0073528A" w:rsidRPr="00403E6A">
        <w:rPr>
          <w:rFonts w:ascii="Times New Roman" w:hAnsi="Times New Roman" w:cs="Times New Roman"/>
          <w:sz w:val="24"/>
          <w:szCs w:val="24"/>
        </w:rPr>
        <w:t>concept as well.</w:t>
      </w:r>
      <w:r w:rsidR="00540BE5">
        <w:rPr>
          <w:rStyle w:val="FootnoteReference"/>
          <w:rFonts w:ascii="Times New Roman" w:hAnsi="Times New Roman" w:cs="Times New Roman"/>
          <w:sz w:val="24"/>
          <w:szCs w:val="24"/>
        </w:rPr>
        <w:footnoteReference w:id="67"/>
      </w:r>
    </w:p>
    <w:p w14:paraId="63427163" w14:textId="292A735E" w:rsidR="00840DF8" w:rsidRPr="00403E6A" w:rsidRDefault="0060142D" w:rsidP="00400A55">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r>
      <w:r w:rsidR="00F062D0" w:rsidRPr="00403E6A">
        <w:rPr>
          <w:rFonts w:ascii="Times New Roman" w:hAnsi="Times New Roman" w:cs="Times New Roman"/>
          <w:sz w:val="24"/>
          <w:szCs w:val="24"/>
        </w:rPr>
        <w:t xml:space="preserve">ACOs </w:t>
      </w:r>
      <w:r w:rsidR="005A4361" w:rsidRPr="00403E6A">
        <w:rPr>
          <w:rFonts w:ascii="Times New Roman" w:hAnsi="Times New Roman" w:cs="Times New Roman"/>
          <w:sz w:val="24"/>
          <w:szCs w:val="24"/>
        </w:rPr>
        <w:t xml:space="preserve">are provider-based networks </w:t>
      </w:r>
      <w:r w:rsidR="009310B1" w:rsidRPr="00403E6A">
        <w:rPr>
          <w:rFonts w:ascii="Times New Roman" w:hAnsi="Times New Roman" w:cs="Times New Roman"/>
          <w:sz w:val="24"/>
          <w:szCs w:val="24"/>
        </w:rPr>
        <w:t xml:space="preserve">that </w:t>
      </w:r>
      <w:r w:rsidR="00EC0616" w:rsidRPr="00403E6A">
        <w:rPr>
          <w:rFonts w:ascii="Times New Roman" w:hAnsi="Times New Roman" w:cs="Times New Roman"/>
          <w:sz w:val="24"/>
          <w:szCs w:val="24"/>
        </w:rPr>
        <w:t xml:space="preserve">consist of </w:t>
      </w:r>
      <w:r w:rsidR="00A81C71" w:rsidRPr="00403E6A">
        <w:rPr>
          <w:rFonts w:ascii="Times New Roman" w:hAnsi="Times New Roman" w:cs="Times New Roman"/>
          <w:sz w:val="24"/>
          <w:szCs w:val="24"/>
        </w:rPr>
        <w:t xml:space="preserve">primary care physicians, </w:t>
      </w:r>
      <w:r w:rsidR="00EC0616" w:rsidRPr="00403E6A">
        <w:rPr>
          <w:rFonts w:ascii="Times New Roman" w:hAnsi="Times New Roman" w:cs="Times New Roman"/>
          <w:sz w:val="24"/>
          <w:szCs w:val="24"/>
        </w:rPr>
        <w:t>hospitals, specialists, nursing homes</w:t>
      </w:r>
      <w:r w:rsidR="00265B9F" w:rsidRPr="00403E6A">
        <w:rPr>
          <w:rFonts w:ascii="Times New Roman" w:hAnsi="Times New Roman" w:cs="Times New Roman"/>
          <w:sz w:val="24"/>
          <w:szCs w:val="24"/>
        </w:rPr>
        <w:t xml:space="preserve">, and other health care facilities </w:t>
      </w:r>
      <w:r w:rsidR="00CA4D92" w:rsidRPr="00403E6A">
        <w:rPr>
          <w:rFonts w:ascii="Times New Roman" w:hAnsi="Times New Roman" w:cs="Times New Roman"/>
          <w:sz w:val="24"/>
          <w:szCs w:val="24"/>
        </w:rPr>
        <w:t xml:space="preserve">that </w:t>
      </w:r>
      <w:r w:rsidR="005A4361" w:rsidRPr="00403E6A">
        <w:rPr>
          <w:rFonts w:ascii="Times New Roman" w:hAnsi="Times New Roman" w:cs="Times New Roman"/>
          <w:sz w:val="24"/>
          <w:szCs w:val="24"/>
        </w:rPr>
        <w:t xml:space="preserve">utilize data analytics and </w:t>
      </w:r>
      <w:r w:rsidR="00FE0B0D">
        <w:rPr>
          <w:rFonts w:ascii="Times New Roman" w:hAnsi="Times New Roman" w:cs="Times New Roman"/>
          <w:sz w:val="24"/>
          <w:szCs w:val="24"/>
        </w:rPr>
        <w:t>community</w:t>
      </w:r>
      <w:r w:rsidR="005A4361" w:rsidRPr="00403E6A">
        <w:rPr>
          <w:rFonts w:ascii="Times New Roman" w:hAnsi="Times New Roman" w:cs="Times New Roman"/>
          <w:sz w:val="24"/>
          <w:szCs w:val="24"/>
        </w:rPr>
        <w:t xml:space="preserve"> management strategies to </w:t>
      </w:r>
      <w:r w:rsidR="00265B9F" w:rsidRPr="00403E6A">
        <w:rPr>
          <w:rFonts w:ascii="Times New Roman" w:hAnsi="Times New Roman" w:cs="Times New Roman"/>
          <w:sz w:val="24"/>
          <w:szCs w:val="24"/>
        </w:rPr>
        <w:t xml:space="preserve">achieve </w:t>
      </w:r>
      <w:r w:rsidR="00FE2B39">
        <w:rPr>
          <w:rFonts w:ascii="Times New Roman" w:hAnsi="Times New Roman" w:cs="Times New Roman"/>
          <w:sz w:val="24"/>
          <w:szCs w:val="24"/>
        </w:rPr>
        <w:t xml:space="preserve">cost </w:t>
      </w:r>
      <w:r w:rsidR="00B21F00">
        <w:rPr>
          <w:rFonts w:ascii="Times New Roman" w:hAnsi="Times New Roman" w:cs="Times New Roman"/>
          <w:sz w:val="24"/>
          <w:szCs w:val="24"/>
        </w:rPr>
        <w:t xml:space="preserve">efficiency </w:t>
      </w:r>
      <w:r w:rsidR="00FE2B39">
        <w:rPr>
          <w:rFonts w:ascii="Times New Roman" w:hAnsi="Times New Roman" w:cs="Times New Roman"/>
          <w:sz w:val="24"/>
          <w:szCs w:val="24"/>
        </w:rPr>
        <w:t xml:space="preserve">and </w:t>
      </w:r>
      <w:r w:rsidR="00B21F00">
        <w:rPr>
          <w:rFonts w:ascii="Times New Roman" w:hAnsi="Times New Roman" w:cs="Times New Roman"/>
          <w:sz w:val="24"/>
          <w:szCs w:val="24"/>
        </w:rPr>
        <w:t xml:space="preserve">care </w:t>
      </w:r>
      <w:r w:rsidR="00FE2B39">
        <w:rPr>
          <w:rFonts w:ascii="Times New Roman" w:hAnsi="Times New Roman" w:cs="Times New Roman"/>
          <w:sz w:val="24"/>
          <w:szCs w:val="24"/>
        </w:rPr>
        <w:t>quality</w:t>
      </w:r>
      <w:r w:rsidR="005A4361" w:rsidRPr="00403E6A">
        <w:rPr>
          <w:rFonts w:ascii="Times New Roman" w:hAnsi="Times New Roman" w:cs="Times New Roman"/>
          <w:sz w:val="24"/>
          <w:szCs w:val="24"/>
        </w:rPr>
        <w:t>.</w:t>
      </w:r>
      <w:r w:rsidR="00CD4674">
        <w:rPr>
          <w:rStyle w:val="FootnoteReference"/>
          <w:rFonts w:ascii="Times New Roman" w:hAnsi="Times New Roman" w:cs="Times New Roman"/>
          <w:sz w:val="24"/>
          <w:szCs w:val="24"/>
        </w:rPr>
        <w:footnoteReference w:id="68"/>
      </w:r>
      <w:r w:rsidR="005A4361" w:rsidRPr="00403E6A">
        <w:rPr>
          <w:rFonts w:ascii="Times New Roman" w:hAnsi="Times New Roman" w:cs="Times New Roman"/>
          <w:sz w:val="24"/>
          <w:szCs w:val="24"/>
        </w:rPr>
        <w:t xml:space="preserve"> </w:t>
      </w:r>
      <w:r w:rsidR="00DB29F7" w:rsidRPr="00403E6A">
        <w:rPr>
          <w:rFonts w:ascii="Times New Roman" w:hAnsi="Times New Roman" w:cs="Times New Roman"/>
          <w:sz w:val="24"/>
          <w:szCs w:val="24"/>
        </w:rPr>
        <w:t xml:space="preserve">Under the MSSP, </w:t>
      </w:r>
      <w:r w:rsidR="001C6A18" w:rsidRPr="00403E6A">
        <w:rPr>
          <w:rFonts w:ascii="Times New Roman" w:hAnsi="Times New Roman" w:cs="Times New Roman"/>
          <w:sz w:val="24"/>
          <w:szCs w:val="24"/>
        </w:rPr>
        <w:t xml:space="preserve">CMS </w:t>
      </w:r>
      <w:r w:rsidR="00223FD4" w:rsidRPr="00403E6A">
        <w:rPr>
          <w:rFonts w:ascii="Times New Roman" w:hAnsi="Times New Roman" w:cs="Times New Roman"/>
          <w:sz w:val="24"/>
          <w:szCs w:val="24"/>
        </w:rPr>
        <w:t>rewards</w:t>
      </w:r>
      <w:r w:rsidR="001C6A18" w:rsidRPr="00403E6A">
        <w:rPr>
          <w:rFonts w:ascii="Times New Roman" w:hAnsi="Times New Roman" w:cs="Times New Roman"/>
          <w:sz w:val="24"/>
          <w:szCs w:val="24"/>
        </w:rPr>
        <w:t xml:space="preserve"> </w:t>
      </w:r>
      <w:r w:rsidR="00223FD4" w:rsidRPr="00403E6A">
        <w:rPr>
          <w:rFonts w:ascii="Times New Roman" w:hAnsi="Times New Roman" w:cs="Times New Roman"/>
          <w:sz w:val="24"/>
          <w:szCs w:val="24"/>
        </w:rPr>
        <w:t xml:space="preserve">successful providers </w:t>
      </w:r>
      <w:r w:rsidR="004D6EF9" w:rsidRPr="00403E6A">
        <w:rPr>
          <w:rFonts w:ascii="Times New Roman" w:hAnsi="Times New Roman" w:cs="Times New Roman"/>
          <w:sz w:val="24"/>
          <w:szCs w:val="24"/>
        </w:rPr>
        <w:t xml:space="preserve">in ACOs </w:t>
      </w:r>
      <w:r w:rsidR="00223FD4" w:rsidRPr="00403E6A">
        <w:rPr>
          <w:rFonts w:ascii="Times New Roman" w:hAnsi="Times New Roman" w:cs="Times New Roman"/>
          <w:sz w:val="24"/>
          <w:szCs w:val="24"/>
        </w:rPr>
        <w:t xml:space="preserve">a portion of the savings they achieve for </w:t>
      </w:r>
      <w:r w:rsidR="00223FD4" w:rsidRPr="00403E6A">
        <w:rPr>
          <w:rFonts w:ascii="Times New Roman" w:hAnsi="Times New Roman" w:cs="Times New Roman"/>
          <w:sz w:val="24"/>
          <w:szCs w:val="24"/>
        </w:rPr>
        <w:lastRenderedPageBreak/>
        <w:t xml:space="preserve">their payers </w:t>
      </w:r>
      <w:r w:rsidR="00AB34D3" w:rsidRPr="00403E6A">
        <w:rPr>
          <w:rFonts w:ascii="Times New Roman" w:hAnsi="Times New Roman" w:cs="Times New Roman"/>
          <w:sz w:val="24"/>
          <w:szCs w:val="24"/>
        </w:rPr>
        <w:t>for balancing spending and quality.</w:t>
      </w:r>
      <w:r w:rsidR="00B21F00">
        <w:rPr>
          <w:rStyle w:val="FootnoteReference"/>
          <w:rFonts w:ascii="Times New Roman" w:hAnsi="Times New Roman" w:cs="Times New Roman"/>
          <w:sz w:val="24"/>
          <w:szCs w:val="24"/>
        </w:rPr>
        <w:footnoteReference w:id="69"/>
      </w:r>
      <w:r w:rsidR="00AB34D3" w:rsidRPr="00403E6A">
        <w:rPr>
          <w:rFonts w:ascii="Times New Roman" w:hAnsi="Times New Roman" w:cs="Times New Roman"/>
          <w:sz w:val="24"/>
          <w:szCs w:val="24"/>
        </w:rPr>
        <w:t xml:space="preserve"> </w:t>
      </w:r>
      <w:r w:rsidR="00C5730B" w:rsidRPr="00403E6A">
        <w:rPr>
          <w:rFonts w:ascii="Times New Roman" w:hAnsi="Times New Roman" w:cs="Times New Roman"/>
          <w:sz w:val="24"/>
          <w:szCs w:val="24"/>
        </w:rPr>
        <w:t xml:space="preserve">This </w:t>
      </w:r>
      <w:r w:rsidR="00D72F6B" w:rsidRPr="00403E6A">
        <w:rPr>
          <w:rFonts w:ascii="Times New Roman" w:hAnsi="Times New Roman" w:cs="Times New Roman"/>
          <w:sz w:val="24"/>
          <w:szCs w:val="24"/>
        </w:rPr>
        <w:t>complements</w:t>
      </w:r>
      <w:r w:rsidR="00C5730B" w:rsidRPr="00403E6A">
        <w:rPr>
          <w:rFonts w:ascii="Times New Roman" w:hAnsi="Times New Roman" w:cs="Times New Roman"/>
          <w:sz w:val="24"/>
          <w:szCs w:val="24"/>
        </w:rPr>
        <w:t xml:space="preserve"> the traditional fee-for-service model</w:t>
      </w:r>
      <w:r w:rsidR="00CB2659">
        <w:rPr>
          <w:rFonts w:ascii="Times New Roman" w:hAnsi="Times New Roman" w:cs="Times New Roman"/>
          <w:sz w:val="24"/>
          <w:szCs w:val="24"/>
        </w:rPr>
        <w:t>.</w:t>
      </w:r>
      <w:r w:rsidR="00CB2659">
        <w:rPr>
          <w:rStyle w:val="FootnoteReference"/>
          <w:rFonts w:ascii="Times New Roman" w:hAnsi="Times New Roman" w:cs="Times New Roman"/>
          <w:sz w:val="24"/>
          <w:szCs w:val="24"/>
        </w:rPr>
        <w:footnoteReference w:id="70"/>
      </w:r>
      <w:r w:rsidR="00C5730B" w:rsidRPr="00403E6A">
        <w:rPr>
          <w:rFonts w:ascii="Times New Roman" w:hAnsi="Times New Roman" w:cs="Times New Roman"/>
          <w:sz w:val="24"/>
          <w:szCs w:val="24"/>
        </w:rPr>
        <w:t xml:space="preserve"> </w:t>
      </w:r>
      <w:r w:rsidR="002949C0" w:rsidRPr="00403E6A">
        <w:rPr>
          <w:rFonts w:ascii="Times New Roman" w:hAnsi="Times New Roman" w:cs="Times New Roman"/>
          <w:sz w:val="24"/>
          <w:szCs w:val="24"/>
        </w:rPr>
        <w:t xml:space="preserve">In short, ACOs </w:t>
      </w:r>
      <w:r w:rsidR="002609F2" w:rsidRPr="00403E6A">
        <w:rPr>
          <w:rFonts w:ascii="Times New Roman" w:hAnsi="Times New Roman" w:cs="Times New Roman"/>
          <w:sz w:val="24"/>
          <w:szCs w:val="24"/>
        </w:rPr>
        <w:t xml:space="preserve">reward value instead of volume, which is </w:t>
      </w:r>
      <w:r w:rsidR="002949C0" w:rsidRPr="00403E6A">
        <w:rPr>
          <w:rFonts w:ascii="Times New Roman" w:hAnsi="Times New Roman" w:cs="Times New Roman"/>
          <w:sz w:val="24"/>
          <w:szCs w:val="24"/>
        </w:rPr>
        <w:t xml:space="preserve">meant to address the issue of </w:t>
      </w:r>
      <w:r w:rsidR="002609F2" w:rsidRPr="00403E6A">
        <w:rPr>
          <w:rFonts w:ascii="Times New Roman" w:hAnsi="Times New Roman" w:cs="Times New Roman"/>
          <w:sz w:val="24"/>
          <w:szCs w:val="24"/>
        </w:rPr>
        <w:t>over</w:t>
      </w:r>
      <w:r w:rsidR="00840DF8" w:rsidRPr="00403E6A">
        <w:rPr>
          <w:rFonts w:ascii="Times New Roman" w:hAnsi="Times New Roman" w:cs="Times New Roman"/>
          <w:sz w:val="24"/>
          <w:szCs w:val="24"/>
        </w:rPr>
        <w:t>-</w:t>
      </w:r>
      <w:r w:rsidR="002949C0" w:rsidRPr="00403E6A">
        <w:rPr>
          <w:rFonts w:ascii="Times New Roman" w:hAnsi="Times New Roman" w:cs="Times New Roman"/>
          <w:sz w:val="24"/>
          <w:szCs w:val="24"/>
        </w:rPr>
        <w:t>utilization</w:t>
      </w:r>
      <w:r w:rsidR="00840DF8" w:rsidRPr="00403E6A">
        <w:rPr>
          <w:rFonts w:ascii="Times New Roman" w:hAnsi="Times New Roman" w:cs="Times New Roman"/>
          <w:sz w:val="24"/>
          <w:szCs w:val="24"/>
        </w:rPr>
        <w:t>.</w:t>
      </w:r>
      <w:r w:rsidR="002949C0" w:rsidRPr="00403E6A">
        <w:rPr>
          <w:rFonts w:ascii="Times New Roman" w:hAnsi="Times New Roman" w:cs="Times New Roman"/>
          <w:sz w:val="24"/>
          <w:szCs w:val="24"/>
        </w:rPr>
        <w:t xml:space="preserve"> </w:t>
      </w:r>
    </w:p>
    <w:p w14:paraId="11A86FCE" w14:textId="540406D9" w:rsidR="000242AB" w:rsidRPr="00403E6A" w:rsidRDefault="00840DF8" w:rsidP="00E514C6">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r>
      <w:r w:rsidR="009F0F21" w:rsidRPr="00403E6A">
        <w:rPr>
          <w:rFonts w:ascii="Times New Roman" w:hAnsi="Times New Roman" w:cs="Times New Roman"/>
          <w:sz w:val="24"/>
          <w:szCs w:val="24"/>
        </w:rPr>
        <w:t>S</w:t>
      </w:r>
      <w:r w:rsidR="008B4417" w:rsidRPr="00403E6A">
        <w:rPr>
          <w:rFonts w:ascii="Times New Roman" w:hAnsi="Times New Roman" w:cs="Times New Roman"/>
          <w:sz w:val="24"/>
          <w:szCs w:val="24"/>
        </w:rPr>
        <w:t xml:space="preserve">ince </w:t>
      </w:r>
      <w:r w:rsidR="00570AD0" w:rsidRPr="00403E6A">
        <w:rPr>
          <w:rFonts w:ascii="Times New Roman" w:hAnsi="Times New Roman" w:cs="Times New Roman"/>
          <w:sz w:val="24"/>
          <w:szCs w:val="24"/>
        </w:rPr>
        <w:t xml:space="preserve">the passage of the ACA, the growth of ACOs </w:t>
      </w:r>
      <w:r w:rsidR="008B4417" w:rsidRPr="00403E6A">
        <w:rPr>
          <w:rFonts w:ascii="Times New Roman" w:hAnsi="Times New Roman" w:cs="Times New Roman"/>
          <w:sz w:val="24"/>
          <w:szCs w:val="24"/>
        </w:rPr>
        <w:t>has been</w:t>
      </w:r>
      <w:r w:rsidR="00163CB7" w:rsidRPr="00403E6A">
        <w:rPr>
          <w:rFonts w:ascii="Times New Roman" w:hAnsi="Times New Roman" w:cs="Times New Roman"/>
          <w:sz w:val="24"/>
          <w:szCs w:val="24"/>
        </w:rPr>
        <w:t xml:space="preserve"> steady</w:t>
      </w:r>
      <w:r w:rsidR="00570AD0" w:rsidRPr="00403E6A">
        <w:rPr>
          <w:rFonts w:ascii="Times New Roman" w:hAnsi="Times New Roman" w:cs="Times New Roman"/>
          <w:sz w:val="24"/>
          <w:szCs w:val="24"/>
        </w:rPr>
        <w:t xml:space="preserve">, with more than </w:t>
      </w:r>
      <w:r w:rsidR="008B4417" w:rsidRPr="00403E6A">
        <w:rPr>
          <w:rFonts w:ascii="Times New Roman" w:hAnsi="Times New Roman" w:cs="Times New Roman"/>
          <w:sz w:val="24"/>
          <w:szCs w:val="24"/>
        </w:rPr>
        <w:t>1</w:t>
      </w:r>
      <w:r w:rsidR="00570AD0" w:rsidRPr="00403E6A">
        <w:rPr>
          <w:rFonts w:ascii="Times New Roman" w:hAnsi="Times New Roman" w:cs="Times New Roman"/>
          <w:sz w:val="24"/>
          <w:szCs w:val="24"/>
        </w:rPr>
        <w:t xml:space="preserve">00 ACOs established nationwide </w:t>
      </w:r>
      <w:r w:rsidR="00CF4FEC" w:rsidRPr="00403E6A">
        <w:rPr>
          <w:rFonts w:ascii="Times New Roman" w:hAnsi="Times New Roman" w:cs="Times New Roman"/>
          <w:sz w:val="24"/>
          <w:szCs w:val="24"/>
        </w:rPr>
        <w:t>at the end of</w:t>
      </w:r>
      <w:r w:rsidR="008B4417" w:rsidRPr="00403E6A">
        <w:rPr>
          <w:rFonts w:ascii="Times New Roman" w:hAnsi="Times New Roman" w:cs="Times New Roman"/>
          <w:sz w:val="24"/>
          <w:szCs w:val="24"/>
        </w:rPr>
        <w:t xml:space="preserve"> </w:t>
      </w:r>
      <w:r w:rsidR="00570AD0" w:rsidRPr="00403E6A">
        <w:rPr>
          <w:rFonts w:ascii="Times New Roman" w:hAnsi="Times New Roman" w:cs="Times New Roman"/>
          <w:sz w:val="24"/>
          <w:szCs w:val="24"/>
        </w:rPr>
        <w:t>201</w:t>
      </w:r>
      <w:r w:rsidR="008B4417" w:rsidRPr="00403E6A">
        <w:rPr>
          <w:rFonts w:ascii="Times New Roman" w:hAnsi="Times New Roman" w:cs="Times New Roman"/>
          <w:sz w:val="24"/>
          <w:szCs w:val="24"/>
        </w:rPr>
        <w:t>1</w:t>
      </w:r>
      <w:r w:rsidR="00570AD0" w:rsidRPr="00403E6A">
        <w:rPr>
          <w:rFonts w:ascii="Times New Roman" w:hAnsi="Times New Roman" w:cs="Times New Roman"/>
          <w:sz w:val="24"/>
          <w:szCs w:val="24"/>
        </w:rPr>
        <w:t xml:space="preserve">, </w:t>
      </w:r>
      <w:r w:rsidR="00CF4FEC" w:rsidRPr="00403E6A">
        <w:rPr>
          <w:rFonts w:ascii="Times New Roman" w:hAnsi="Times New Roman" w:cs="Times New Roman"/>
          <w:sz w:val="24"/>
          <w:szCs w:val="24"/>
        </w:rPr>
        <w:t>to almost 1,000 by Q2 2019</w:t>
      </w:r>
      <w:r w:rsidR="00570AD0" w:rsidRPr="00403E6A">
        <w:rPr>
          <w:rFonts w:ascii="Times New Roman" w:hAnsi="Times New Roman" w:cs="Times New Roman"/>
          <w:sz w:val="24"/>
          <w:szCs w:val="24"/>
        </w:rPr>
        <w:t>.</w:t>
      </w:r>
      <w:r w:rsidR="0068586F">
        <w:rPr>
          <w:rStyle w:val="FootnoteReference"/>
          <w:rFonts w:ascii="Times New Roman" w:hAnsi="Times New Roman" w:cs="Times New Roman"/>
          <w:sz w:val="24"/>
          <w:szCs w:val="24"/>
        </w:rPr>
        <w:footnoteReference w:id="71"/>
      </w:r>
      <w:r w:rsidR="00CB4C8A" w:rsidRPr="00403E6A">
        <w:rPr>
          <w:rFonts w:ascii="Times New Roman" w:hAnsi="Times New Roman" w:cs="Times New Roman"/>
          <w:sz w:val="24"/>
          <w:szCs w:val="24"/>
        </w:rPr>
        <w:t xml:space="preserve"> </w:t>
      </w:r>
      <w:r w:rsidR="00EC66CB" w:rsidRPr="00403E6A">
        <w:rPr>
          <w:rFonts w:ascii="Times New Roman" w:hAnsi="Times New Roman" w:cs="Times New Roman"/>
          <w:sz w:val="24"/>
          <w:szCs w:val="24"/>
        </w:rPr>
        <w:t xml:space="preserve">From the end of Q2 2018 to the end of Q2 2019, three million people </w:t>
      </w:r>
      <w:r w:rsidR="006807EC" w:rsidRPr="00403E6A">
        <w:rPr>
          <w:rFonts w:ascii="Times New Roman" w:hAnsi="Times New Roman" w:cs="Times New Roman"/>
          <w:sz w:val="24"/>
          <w:szCs w:val="24"/>
        </w:rPr>
        <w:t>have been added to those who ACOs cover.</w:t>
      </w:r>
      <w:r w:rsidR="0036612F">
        <w:rPr>
          <w:rStyle w:val="FootnoteReference"/>
          <w:rFonts w:ascii="Times New Roman" w:hAnsi="Times New Roman" w:cs="Times New Roman"/>
          <w:sz w:val="24"/>
          <w:szCs w:val="24"/>
        </w:rPr>
        <w:footnoteReference w:id="72"/>
      </w:r>
      <w:r w:rsidR="006807EC" w:rsidRPr="00403E6A">
        <w:rPr>
          <w:rFonts w:ascii="Times New Roman" w:hAnsi="Times New Roman" w:cs="Times New Roman"/>
          <w:sz w:val="24"/>
          <w:szCs w:val="24"/>
        </w:rPr>
        <w:t xml:space="preserve"> At </w:t>
      </w:r>
      <w:r w:rsidR="00FF4BEC" w:rsidRPr="00403E6A">
        <w:rPr>
          <w:rFonts w:ascii="Times New Roman" w:hAnsi="Times New Roman" w:cs="Times New Roman"/>
          <w:sz w:val="24"/>
          <w:szCs w:val="24"/>
        </w:rPr>
        <w:t xml:space="preserve">the </w:t>
      </w:r>
      <w:r w:rsidR="00A704D1" w:rsidRPr="00403E6A">
        <w:rPr>
          <w:rFonts w:ascii="Times New Roman" w:hAnsi="Times New Roman" w:cs="Times New Roman"/>
          <w:sz w:val="24"/>
          <w:szCs w:val="24"/>
        </w:rPr>
        <w:t xml:space="preserve">end </w:t>
      </w:r>
      <w:r w:rsidR="00FF4BEC" w:rsidRPr="00403E6A">
        <w:rPr>
          <w:rFonts w:ascii="Times New Roman" w:hAnsi="Times New Roman" w:cs="Times New Roman"/>
          <w:sz w:val="24"/>
          <w:szCs w:val="24"/>
        </w:rPr>
        <w:t xml:space="preserve">of </w:t>
      </w:r>
      <w:r w:rsidR="00894ED2" w:rsidRPr="00403E6A">
        <w:rPr>
          <w:rFonts w:ascii="Times New Roman" w:hAnsi="Times New Roman" w:cs="Times New Roman"/>
          <w:sz w:val="24"/>
          <w:szCs w:val="24"/>
        </w:rPr>
        <w:t>Q</w:t>
      </w:r>
      <w:r w:rsidR="00A704D1" w:rsidRPr="00403E6A">
        <w:rPr>
          <w:rFonts w:ascii="Times New Roman" w:hAnsi="Times New Roman" w:cs="Times New Roman"/>
          <w:sz w:val="24"/>
          <w:szCs w:val="24"/>
        </w:rPr>
        <w:t>2</w:t>
      </w:r>
      <w:r w:rsidR="00894ED2" w:rsidRPr="00403E6A">
        <w:rPr>
          <w:rFonts w:ascii="Times New Roman" w:hAnsi="Times New Roman" w:cs="Times New Roman"/>
          <w:sz w:val="24"/>
          <w:szCs w:val="24"/>
        </w:rPr>
        <w:t xml:space="preserve"> </w:t>
      </w:r>
      <w:r w:rsidR="00FF4BEC" w:rsidRPr="00403E6A">
        <w:rPr>
          <w:rFonts w:ascii="Times New Roman" w:hAnsi="Times New Roman" w:cs="Times New Roman"/>
          <w:sz w:val="24"/>
          <w:szCs w:val="24"/>
        </w:rPr>
        <w:t xml:space="preserve">2019, </w:t>
      </w:r>
      <w:r w:rsidR="004C768F" w:rsidRPr="00403E6A">
        <w:rPr>
          <w:rFonts w:ascii="Times New Roman" w:hAnsi="Times New Roman" w:cs="Times New Roman"/>
          <w:sz w:val="24"/>
          <w:szCs w:val="24"/>
        </w:rPr>
        <w:t>private insurers</w:t>
      </w:r>
      <w:r w:rsidR="006B72A5" w:rsidRPr="00403E6A">
        <w:rPr>
          <w:rFonts w:ascii="Times New Roman" w:hAnsi="Times New Roman" w:cs="Times New Roman"/>
          <w:sz w:val="24"/>
          <w:szCs w:val="24"/>
        </w:rPr>
        <w:t xml:space="preserve"> covered </w:t>
      </w:r>
      <w:r w:rsidR="00FF4BEC" w:rsidRPr="00403E6A">
        <w:rPr>
          <w:rFonts w:ascii="Times New Roman" w:hAnsi="Times New Roman" w:cs="Times New Roman"/>
          <w:sz w:val="24"/>
          <w:szCs w:val="24"/>
        </w:rPr>
        <w:t xml:space="preserve">about 60 percent of ACO </w:t>
      </w:r>
      <w:r w:rsidR="006B72A5" w:rsidRPr="00403E6A">
        <w:rPr>
          <w:rFonts w:ascii="Times New Roman" w:hAnsi="Times New Roman" w:cs="Times New Roman"/>
          <w:sz w:val="24"/>
          <w:szCs w:val="24"/>
        </w:rPr>
        <w:t>beneficiaries</w:t>
      </w:r>
      <w:r w:rsidR="00FF4BEC" w:rsidRPr="00403E6A">
        <w:rPr>
          <w:rFonts w:ascii="Times New Roman" w:hAnsi="Times New Roman" w:cs="Times New Roman"/>
          <w:sz w:val="24"/>
          <w:szCs w:val="24"/>
        </w:rPr>
        <w:t>, while</w:t>
      </w:r>
      <w:r w:rsidR="004C768F" w:rsidRPr="00403E6A">
        <w:rPr>
          <w:rFonts w:ascii="Times New Roman" w:hAnsi="Times New Roman" w:cs="Times New Roman"/>
          <w:sz w:val="24"/>
          <w:szCs w:val="24"/>
        </w:rPr>
        <w:t xml:space="preserve"> Medicare </w:t>
      </w:r>
      <w:r w:rsidR="00430710" w:rsidRPr="00403E6A">
        <w:rPr>
          <w:rFonts w:ascii="Times New Roman" w:hAnsi="Times New Roman" w:cs="Times New Roman"/>
          <w:sz w:val="24"/>
          <w:szCs w:val="24"/>
        </w:rPr>
        <w:t xml:space="preserve">contracts </w:t>
      </w:r>
      <w:r w:rsidR="004C768F" w:rsidRPr="00403E6A">
        <w:rPr>
          <w:rFonts w:ascii="Times New Roman" w:hAnsi="Times New Roman" w:cs="Times New Roman"/>
          <w:sz w:val="24"/>
          <w:szCs w:val="24"/>
        </w:rPr>
        <w:t>covered</w:t>
      </w:r>
      <w:r w:rsidR="00FF4BEC" w:rsidRPr="00403E6A">
        <w:rPr>
          <w:rFonts w:ascii="Times New Roman" w:hAnsi="Times New Roman" w:cs="Times New Roman"/>
          <w:sz w:val="24"/>
          <w:szCs w:val="24"/>
        </w:rPr>
        <w:t xml:space="preserve"> </w:t>
      </w:r>
      <w:r w:rsidR="006B72A5" w:rsidRPr="00403E6A">
        <w:rPr>
          <w:rFonts w:ascii="Times New Roman" w:hAnsi="Times New Roman" w:cs="Times New Roman"/>
          <w:sz w:val="24"/>
          <w:szCs w:val="24"/>
        </w:rPr>
        <w:t>approximately</w:t>
      </w:r>
      <w:r w:rsidR="00FF4BEC" w:rsidRPr="00403E6A">
        <w:rPr>
          <w:rFonts w:ascii="Times New Roman" w:hAnsi="Times New Roman" w:cs="Times New Roman"/>
          <w:sz w:val="24"/>
          <w:szCs w:val="24"/>
        </w:rPr>
        <w:t xml:space="preserve"> 30 percent and </w:t>
      </w:r>
      <w:r w:rsidR="00997E13" w:rsidRPr="00403E6A">
        <w:rPr>
          <w:rFonts w:ascii="Times New Roman" w:hAnsi="Times New Roman" w:cs="Times New Roman"/>
          <w:sz w:val="24"/>
          <w:szCs w:val="24"/>
        </w:rPr>
        <w:t xml:space="preserve">Medicaid </w:t>
      </w:r>
      <w:r w:rsidR="007F499B" w:rsidRPr="00403E6A">
        <w:rPr>
          <w:rFonts w:ascii="Times New Roman" w:hAnsi="Times New Roman" w:cs="Times New Roman"/>
          <w:sz w:val="24"/>
          <w:szCs w:val="24"/>
        </w:rPr>
        <w:t xml:space="preserve">covered </w:t>
      </w:r>
      <w:r w:rsidR="00FF4BEC" w:rsidRPr="00403E6A">
        <w:rPr>
          <w:rFonts w:ascii="Times New Roman" w:hAnsi="Times New Roman" w:cs="Times New Roman"/>
          <w:sz w:val="24"/>
          <w:szCs w:val="24"/>
        </w:rPr>
        <w:t>10 percent</w:t>
      </w:r>
      <w:r w:rsidR="002A3536" w:rsidRPr="00403E6A">
        <w:rPr>
          <w:rFonts w:ascii="Times New Roman" w:hAnsi="Times New Roman" w:cs="Times New Roman"/>
          <w:sz w:val="24"/>
          <w:szCs w:val="24"/>
        </w:rPr>
        <w:t>.</w:t>
      </w:r>
      <w:r w:rsidR="009D6BA2">
        <w:rPr>
          <w:rStyle w:val="FootnoteReference"/>
          <w:rFonts w:ascii="Times New Roman" w:hAnsi="Times New Roman" w:cs="Times New Roman"/>
          <w:sz w:val="24"/>
          <w:szCs w:val="24"/>
        </w:rPr>
        <w:footnoteReference w:id="73"/>
      </w:r>
      <w:r w:rsidR="002A3536" w:rsidRPr="00403E6A">
        <w:rPr>
          <w:rFonts w:ascii="Times New Roman" w:hAnsi="Times New Roman" w:cs="Times New Roman"/>
          <w:sz w:val="24"/>
          <w:szCs w:val="24"/>
        </w:rPr>
        <w:t xml:space="preserve"> </w:t>
      </w:r>
      <w:r w:rsidR="00BA2B9B" w:rsidRPr="00403E6A">
        <w:rPr>
          <w:rFonts w:ascii="Times New Roman" w:hAnsi="Times New Roman" w:cs="Times New Roman"/>
          <w:sz w:val="24"/>
          <w:szCs w:val="24"/>
        </w:rPr>
        <w:t xml:space="preserve">By the </w:t>
      </w:r>
      <w:r w:rsidR="004339CE" w:rsidRPr="00403E6A">
        <w:rPr>
          <w:rFonts w:ascii="Times New Roman" w:hAnsi="Times New Roman" w:cs="Times New Roman"/>
          <w:sz w:val="24"/>
          <w:szCs w:val="24"/>
        </w:rPr>
        <w:t xml:space="preserve">end of </w:t>
      </w:r>
      <w:r w:rsidR="0068638A" w:rsidRPr="00403E6A">
        <w:rPr>
          <w:rFonts w:ascii="Times New Roman" w:hAnsi="Times New Roman" w:cs="Times New Roman"/>
          <w:sz w:val="24"/>
          <w:szCs w:val="24"/>
        </w:rPr>
        <w:t xml:space="preserve">Q2 </w:t>
      </w:r>
      <w:r w:rsidR="00BA2B9B" w:rsidRPr="00403E6A">
        <w:rPr>
          <w:rFonts w:ascii="Times New Roman" w:hAnsi="Times New Roman" w:cs="Times New Roman"/>
          <w:sz w:val="24"/>
          <w:szCs w:val="24"/>
        </w:rPr>
        <w:t xml:space="preserve">2019, there were 1,588 existing public and private ACO contracts, covering almost 44 million </w:t>
      </w:r>
      <w:r w:rsidR="00A63FA5" w:rsidRPr="00403E6A">
        <w:rPr>
          <w:rFonts w:ascii="Times New Roman" w:hAnsi="Times New Roman" w:cs="Times New Roman"/>
          <w:sz w:val="24"/>
          <w:szCs w:val="24"/>
        </w:rPr>
        <w:t>Americans</w:t>
      </w:r>
      <w:r w:rsidR="00BA2B9B" w:rsidRPr="00403E6A">
        <w:rPr>
          <w:rFonts w:ascii="Times New Roman" w:hAnsi="Times New Roman" w:cs="Times New Roman"/>
          <w:sz w:val="24"/>
          <w:szCs w:val="24"/>
        </w:rPr>
        <w:t>.</w:t>
      </w:r>
      <w:r w:rsidR="009D6BA2">
        <w:rPr>
          <w:rStyle w:val="FootnoteReference"/>
          <w:rFonts w:ascii="Times New Roman" w:hAnsi="Times New Roman" w:cs="Times New Roman"/>
          <w:sz w:val="24"/>
          <w:szCs w:val="24"/>
        </w:rPr>
        <w:footnoteReference w:id="74"/>
      </w:r>
      <w:r w:rsidR="00C97B87" w:rsidRPr="00403E6A">
        <w:rPr>
          <w:rFonts w:ascii="Times New Roman" w:hAnsi="Times New Roman" w:cs="Times New Roman"/>
          <w:sz w:val="24"/>
          <w:szCs w:val="24"/>
        </w:rPr>
        <w:t xml:space="preserve"> </w:t>
      </w:r>
      <w:r w:rsidR="00F878DE" w:rsidRPr="00403E6A">
        <w:rPr>
          <w:rFonts w:ascii="Times New Roman" w:hAnsi="Times New Roman" w:cs="Times New Roman"/>
          <w:sz w:val="24"/>
          <w:szCs w:val="24"/>
        </w:rPr>
        <w:t xml:space="preserve">At the end of Q2 2019, </w:t>
      </w:r>
      <w:r w:rsidR="006A0CA7" w:rsidRPr="00403E6A">
        <w:rPr>
          <w:rFonts w:ascii="Times New Roman" w:hAnsi="Times New Roman" w:cs="Times New Roman"/>
          <w:sz w:val="24"/>
          <w:szCs w:val="24"/>
        </w:rPr>
        <w:t xml:space="preserve">ACOs cover less than five percent of the population in </w:t>
      </w:r>
      <w:r w:rsidR="00F878DE" w:rsidRPr="00403E6A">
        <w:rPr>
          <w:rFonts w:ascii="Times New Roman" w:hAnsi="Times New Roman" w:cs="Times New Roman"/>
          <w:sz w:val="24"/>
          <w:szCs w:val="24"/>
        </w:rPr>
        <w:t>only six states</w:t>
      </w:r>
      <w:r w:rsidR="00954704">
        <w:rPr>
          <w:rFonts w:ascii="Times New Roman" w:hAnsi="Times New Roman" w:cs="Times New Roman"/>
          <w:sz w:val="24"/>
          <w:szCs w:val="24"/>
        </w:rPr>
        <w:t>.</w:t>
      </w:r>
      <w:r w:rsidR="00954704">
        <w:rPr>
          <w:rStyle w:val="FootnoteReference"/>
          <w:rFonts w:ascii="Times New Roman" w:hAnsi="Times New Roman" w:cs="Times New Roman"/>
          <w:sz w:val="24"/>
          <w:szCs w:val="24"/>
        </w:rPr>
        <w:footnoteReference w:id="75"/>
      </w:r>
      <w:r w:rsidR="00051EF9" w:rsidRPr="00403E6A">
        <w:rPr>
          <w:rFonts w:ascii="Times New Roman" w:hAnsi="Times New Roman" w:cs="Times New Roman"/>
          <w:sz w:val="24"/>
          <w:szCs w:val="24"/>
        </w:rPr>
        <w:t xml:space="preserve"> </w:t>
      </w:r>
    </w:p>
    <w:p w14:paraId="0E42493A" w14:textId="311A0365" w:rsidR="009D3A5D" w:rsidRPr="00403E6A" w:rsidRDefault="00DD6B00" w:rsidP="00767EC5">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r>
      <w:r w:rsidR="005958AB" w:rsidRPr="00403E6A">
        <w:rPr>
          <w:rFonts w:ascii="Times New Roman" w:hAnsi="Times New Roman" w:cs="Times New Roman"/>
          <w:sz w:val="24"/>
          <w:szCs w:val="24"/>
        </w:rPr>
        <w:t xml:space="preserve">As stated </w:t>
      </w:r>
      <w:r w:rsidR="004C3C82" w:rsidRPr="00403E6A">
        <w:rPr>
          <w:rFonts w:ascii="Times New Roman" w:hAnsi="Times New Roman" w:cs="Times New Roman"/>
          <w:sz w:val="24"/>
          <w:szCs w:val="24"/>
        </w:rPr>
        <w:t>previously</w:t>
      </w:r>
      <w:r w:rsidR="005958AB" w:rsidRPr="00403E6A">
        <w:rPr>
          <w:rFonts w:ascii="Times New Roman" w:hAnsi="Times New Roman" w:cs="Times New Roman"/>
          <w:sz w:val="24"/>
          <w:szCs w:val="24"/>
        </w:rPr>
        <w:t>, b</w:t>
      </w:r>
      <w:r w:rsidR="009554E0" w:rsidRPr="00403E6A">
        <w:rPr>
          <w:rFonts w:ascii="Times New Roman" w:hAnsi="Times New Roman" w:cs="Times New Roman"/>
          <w:sz w:val="24"/>
          <w:szCs w:val="24"/>
        </w:rPr>
        <w:t>ecause</w:t>
      </w:r>
      <w:r w:rsidR="00E32D4F" w:rsidRPr="00403E6A">
        <w:rPr>
          <w:rFonts w:ascii="Times New Roman" w:hAnsi="Times New Roman" w:cs="Times New Roman"/>
          <w:sz w:val="24"/>
          <w:szCs w:val="24"/>
        </w:rPr>
        <w:t xml:space="preserve"> </w:t>
      </w:r>
      <w:r w:rsidR="00564160" w:rsidRPr="00403E6A">
        <w:rPr>
          <w:rFonts w:ascii="Times New Roman" w:hAnsi="Times New Roman" w:cs="Times New Roman"/>
          <w:sz w:val="24"/>
          <w:szCs w:val="24"/>
        </w:rPr>
        <w:t xml:space="preserve">of the misaligned incentives of </w:t>
      </w:r>
      <w:r w:rsidR="00E32D4F" w:rsidRPr="00403E6A">
        <w:rPr>
          <w:rFonts w:ascii="Times New Roman" w:hAnsi="Times New Roman" w:cs="Times New Roman"/>
          <w:sz w:val="24"/>
          <w:szCs w:val="24"/>
        </w:rPr>
        <w:t xml:space="preserve">the </w:t>
      </w:r>
      <w:r w:rsidR="00AE2E14" w:rsidRPr="00403E6A">
        <w:rPr>
          <w:rFonts w:ascii="Times New Roman" w:hAnsi="Times New Roman" w:cs="Times New Roman"/>
          <w:sz w:val="24"/>
          <w:szCs w:val="24"/>
        </w:rPr>
        <w:t xml:space="preserve">traditional </w:t>
      </w:r>
      <w:r w:rsidR="00E32D4F" w:rsidRPr="00403E6A">
        <w:rPr>
          <w:rFonts w:ascii="Times New Roman" w:hAnsi="Times New Roman" w:cs="Times New Roman"/>
          <w:sz w:val="24"/>
          <w:szCs w:val="24"/>
        </w:rPr>
        <w:t>FSS model</w:t>
      </w:r>
      <w:r w:rsidR="00564160" w:rsidRPr="00403E6A">
        <w:rPr>
          <w:rFonts w:ascii="Times New Roman" w:hAnsi="Times New Roman" w:cs="Times New Roman"/>
          <w:sz w:val="24"/>
          <w:szCs w:val="24"/>
        </w:rPr>
        <w:t xml:space="preserve">, a </w:t>
      </w:r>
      <w:r w:rsidR="00AC6B76" w:rsidRPr="00403E6A">
        <w:rPr>
          <w:rFonts w:ascii="Times New Roman" w:hAnsi="Times New Roman" w:cs="Times New Roman"/>
          <w:sz w:val="24"/>
          <w:szCs w:val="24"/>
        </w:rPr>
        <w:t>distinctive</w:t>
      </w:r>
      <w:r w:rsidR="00564160" w:rsidRPr="00403E6A">
        <w:rPr>
          <w:rFonts w:ascii="Times New Roman" w:hAnsi="Times New Roman" w:cs="Times New Roman"/>
          <w:sz w:val="24"/>
          <w:szCs w:val="24"/>
        </w:rPr>
        <w:t xml:space="preserve"> characteristic of both public and private ACOs is their assumption of greater responsibility and financial risk for performance.</w:t>
      </w:r>
      <w:r w:rsidR="008A2FEF" w:rsidRPr="00403E6A">
        <w:rPr>
          <w:rFonts w:ascii="Times New Roman" w:hAnsi="Times New Roman" w:cs="Times New Roman"/>
          <w:sz w:val="24"/>
          <w:szCs w:val="24"/>
        </w:rPr>
        <w:t xml:space="preserve"> Payment contracts </w:t>
      </w:r>
      <w:r w:rsidR="009B716F" w:rsidRPr="00403E6A">
        <w:rPr>
          <w:rFonts w:ascii="Times New Roman" w:hAnsi="Times New Roman" w:cs="Times New Roman"/>
          <w:sz w:val="24"/>
          <w:szCs w:val="24"/>
        </w:rPr>
        <w:t xml:space="preserve">are </w:t>
      </w:r>
      <w:r w:rsidR="00E674C5" w:rsidRPr="00403E6A">
        <w:rPr>
          <w:rFonts w:ascii="Times New Roman" w:hAnsi="Times New Roman" w:cs="Times New Roman"/>
          <w:sz w:val="24"/>
          <w:szCs w:val="24"/>
        </w:rPr>
        <w:t xml:space="preserve">formulated </w:t>
      </w:r>
      <w:r w:rsidR="002D3D50" w:rsidRPr="00403E6A">
        <w:rPr>
          <w:rFonts w:ascii="Times New Roman" w:hAnsi="Times New Roman" w:cs="Times New Roman"/>
          <w:sz w:val="24"/>
          <w:szCs w:val="24"/>
        </w:rPr>
        <w:t xml:space="preserve">in a way </w:t>
      </w:r>
      <w:r w:rsidR="009C5497" w:rsidRPr="00403E6A">
        <w:rPr>
          <w:rFonts w:ascii="Times New Roman" w:hAnsi="Times New Roman" w:cs="Times New Roman"/>
          <w:sz w:val="24"/>
          <w:szCs w:val="24"/>
        </w:rPr>
        <w:t xml:space="preserve">to </w:t>
      </w:r>
      <w:r w:rsidR="00313C1C" w:rsidRPr="00403E6A">
        <w:rPr>
          <w:rFonts w:ascii="Times New Roman" w:hAnsi="Times New Roman" w:cs="Times New Roman"/>
          <w:sz w:val="24"/>
          <w:szCs w:val="24"/>
        </w:rPr>
        <w:t>bind</w:t>
      </w:r>
      <w:r w:rsidR="00AE1A37" w:rsidRPr="00403E6A">
        <w:rPr>
          <w:rFonts w:ascii="Times New Roman" w:hAnsi="Times New Roman" w:cs="Times New Roman"/>
          <w:sz w:val="24"/>
          <w:szCs w:val="24"/>
        </w:rPr>
        <w:t xml:space="preserve"> ACOs with </w:t>
      </w:r>
      <w:r w:rsidR="009C5497" w:rsidRPr="00403E6A">
        <w:rPr>
          <w:rFonts w:ascii="Times New Roman" w:hAnsi="Times New Roman" w:cs="Times New Roman"/>
          <w:sz w:val="24"/>
          <w:szCs w:val="24"/>
        </w:rPr>
        <w:t>upside risks, downside risks, or both.</w:t>
      </w:r>
      <w:r w:rsidR="002B7E43">
        <w:rPr>
          <w:rStyle w:val="FootnoteReference"/>
          <w:rFonts w:ascii="Times New Roman" w:hAnsi="Times New Roman" w:cs="Times New Roman"/>
          <w:sz w:val="24"/>
          <w:szCs w:val="24"/>
        </w:rPr>
        <w:footnoteReference w:id="76"/>
      </w:r>
      <w:r w:rsidR="009C5497" w:rsidRPr="00403E6A">
        <w:rPr>
          <w:rFonts w:ascii="Times New Roman" w:hAnsi="Times New Roman" w:cs="Times New Roman"/>
          <w:sz w:val="24"/>
          <w:szCs w:val="24"/>
        </w:rPr>
        <w:t xml:space="preserve"> </w:t>
      </w:r>
      <w:r w:rsidR="00DB56A8" w:rsidRPr="00403E6A">
        <w:rPr>
          <w:rFonts w:ascii="Times New Roman" w:hAnsi="Times New Roman" w:cs="Times New Roman"/>
          <w:sz w:val="24"/>
          <w:szCs w:val="24"/>
        </w:rPr>
        <w:t xml:space="preserve">During negotiations between networks </w:t>
      </w:r>
      <w:r w:rsidR="00DB56A8" w:rsidRPr="00403E6A">
        <w:rPr>
          <w:rFonts w:ascii="Times New Roman" w:hAnsi="Times New Roman" w:cs="Times New Roman"/>
          <w:sz w:val="24"/>
          <w:szCs w:val="24"/>
        </w:rPr>
        <w:lastRenderedPageBreak/>
        <w:t>and payers, the thresholds for rewards and risk are set.</w:t>
      </w:r>
      <w:r w:rsidR="00B43F7E">
        <w:rPr>
          <w:rStyle w:val="FootnoteReference"/>
          <w:rFonts w:ascii="Times New Roman" w:hAnsi="Times New Roman" w:cs="Times New Roman"/>
          <w:sz w:val="24"/>
          <w:szCs w:val="24"/>
        </w:rPr>
        <w:footnoteReference w:id="77"/>
      </w:r>
      <w:r w:rsidR="00DB56A8" w:rsidRPr="00403E6A">
        <w:rPr>
          <w:rFonts w:ascii="Times New Roman" w:hAnsi="Times New Roman" w:cs="Times New Roman"/>
          <w:sz w:val="24"/>
          <w:szCs w:val="24"/>
        </w:rPr>
        <w:t xml:space="preserve"> </w:t>
      </w:r>
      <w:r w:rsidR="0011356D" w:rsidRPr="00403E6A">
        <w:rPr>
          <w:rFonts w:ascii="Times New Roman" w:hAnsi="Times New Roman" w:cs="Times New Roman"/>
          <w:sz w:val="24"/>
          <w:szCs w:val="24"/>
        </w:rPr>
        <w:t>Downside risk models typically include the opportunity to accrue higher rates of shared savings</w:t>
      </w:r>
      <w:r w:rsidR="003E4488" w:rsidRPr="00403E6A">
        <w:rPr>
          <w:rFonts w:ascii="Times New Roman" w:hAnsi="Times New Roman" w:cs="Times New Roman"/>
          <w:sz w:val="24"/>
          <w:szCs w:val="24"/>
        </w:rPr>
        <w:t>.</w:t>
      </w:r>
      <w:r w:rsidR="001C3EEE">
        <w:rPr>
          <w:rStyle w:val="FootnoteReference"/>
          <w:rFonts w:ascii="Times New Roman" w:hAnsi="Times New Roman" w:cs="Times New Roman"/>
          <w:sz w:val="24"/>
          <w:szCs w:val="24"/>
        </w:rPr>
        <w:footnoteReference w:id="78"/>
      </w:r>
      <w:r w:rsidR="003E4488" w:rsidRPr="00403E6A">
        <w:rPr>
          <w:rFonts w:ascii="Times New Roman" w:hAnsi="Times New Roman" w:cs="Times New Roman"/>
          <w:sz w:val="24"/>
          <w:szCs w:val="24"/>
        </w:rPr>
        <w:t xml:space="preserve"> </w:t>
      </w:r>
      <w:r w:rsidR="006949B5" w:rsidRPr="00403E6A">
        <w:rPr>
          <w:rFonts w:ascii="Times New Roman" w:hAnsi="Times New Roman" w:cs="Times New Roman"/>
          <w:sz w:val="24"/>
          <w:szCs w:val="24"/>
        </w:rPr>
        <w:t xml:space="preserve">This makes </w:t>
      </w:r>
      <w:r w:rsidR="0011356D" w:rsidRPr="00403E6A">
        <w:rPr>
          <w:rFonts w:ascii="Times New Roman" w:hAnsi="Times New Roman" w:cs="Times New Roman"/>
          <w:sz w:val="24"/>
          <w:szCs w:val="24"/>
        </w:rPr>
        <w:t>it more attractive for experienced providers to take on the additional financial risk</w:t>
      </w:r>
      <w:r w:rsidR="006949B5" w:rsidRPr="00403E6A">
        <w:rPr>
          <w:rFonts w:ascii="Times New Roman" w:hAnsi="Times New Roman" w:cs="Times New Roman"/>
          <w:sz w:val="24"/>
          <w:szCs w:val="24"/>
        </w:rPr>
        <w:t xml:space="preserve"> and greater quality care responsibility</w:t>
      </w:r>
      <w:r w:rsidR="0011356D" w:rsidRPr="00403E6A">
        <w:rPr>
          <w:rFonts w:ascii="Times New Roman" w:hAnsi="Times New Roman" w:cs="Times New Roman"/>
          <w:sz w:val="24"/>
          <w:szCs w:val="24"/>
        </w:rPr>
        <w:t>.</w:t>
      </w:r>
      <w:r w:rsidR="005A0F5D" w:rsidRPr="00403E6A">
        <w:rPr>
          <w:rFonts w:ascii="Times New Roman" w:hAnsi="Times New Roman" w:cs="Times New Roman"/>
          <w:sz w:val="24"/>
          <w:szCs w:val="24"/>
        </w:rPr>
        <w:t xml:space="preserve"> </w:t>
      </w:r>
    </w:p>
    <w:p w14:paraId="6497392C" w14:textId="135C5D3B" w:rsidR="00A60666" w:rsidRPr="00403E6A" w:rsidRDefault="009D3A5D" w:rsidP="001B1356">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r>
      <w:r w:rsidR="00E42F97" w:rsidRPr="00403E6A">
        <w:rPr>
          <w:rFonts w:ascii="Times New Roman" w:hAnsi="Times New Roman" w:cs="Times New Roman"/>
          <w:sz w:val="24"/>
          <w:szCs w:val="24"/>
        </w:rPr>
        <w:t xml:space="preserve">Although value-based care agreements </w:t>
      </w:r>
      <w:r w:rsidR="00841E39" w:rsidRPr="00403E6A">
        <w:rPr>
          <w:rFonts w:ascii="Times New Roman" w:hAnsi="Times New Roman" w:cs="Times New Roman"/>
          <w:sz w:val="24"/>
          <w:szCs w:val="24"/>
        </w:rPr>
        <w:t>can vary on a case-by-case basis, t</w:t>
      </w:r>
      <w:r w:rsidR="00A60666" w:rsidRPr="00403E6A">
        <w:rPr>
          <w:rFonts w:ascii="Times New Roman" w:hAnsi="Times New Roman" w:cs="Times New Roman"/>
          <w:sz w:val="24"/>
          <w:szCs w:val="24"/>
        </w:rPr>
        <w:t xml:space="preserve">he American Academy of Actuaries </w:t>
      </w:r>
      <w:r w:rsidR="001178D5" w:rsidRPr="00403E6A">
        <w:rPr>
          <w:rFonts w:ascii="Times New Roman" w:hAnsi="Times New Roman" w:cs="Times New Roman"/>
          <w:sz w:val="24"/>
          <w:szCs w:val="24"/>
        </w:rPr>
        <w:t>analyzed</w:t>
      </w:r>
      <w:r w:rsidR="00264657" w:rsidRPr="00403E6A">
        <w:rPr>
          <w:rFonts w:ascii="Times New Roman" w:hAnsi="Times New Roman" w:cs="Times New Roman"/>
          <w:sz w:val="24"/>
          <w:szCs w:val="24"/>
        </w:rPr>
        <w:t xml:space="preserve"> the</w:t>
      </w:r>
      <w:r w:rsidR="001178D5" w:rsidRPr="00403E6A">
        <w:rPr>
          <w:rFonts w:ascii="Times New Roman" w:hAnsi="Times New Roman" w:cs="Times New Roman"/>
          <w:sz w:val="24"/>
          <w:szCs w:val="24"/>
        </w:rPr>
        <w:t xml:space="preserve"> five </w:t>
      </w:r>
      <w:r w:rsidR="00841E39" w:rsidRPr="00403E6A">
        <w:rPr>
          <w:rFonts w:ascii="Times New Roman" w:hAnsi="Times New Roman" w:cs="Times New Roman"/>
          <w:sz w:val="24"/>
          <w:szCs w:val="24"/>
        </w:rPr>
        <w:t xml:space="preserve">general </w:t>
      </w:r>
      <w:r w:rsidR="00A60666" w:rsidRPr="00403E6A">
        <w:rPr>
          <w:rFonts w:ascii="Times New Roman" w:hAnsi="Times New Roman" w:cs="Times New Roman"/>
          <w:sz w:val="24"/>
          <w:szCs w:val="24"/>
        </w:rPr>
        <w:t>payment structures of ACOs</w:t>
      </w:r>
      <w:r w:rsidR="001178D5" w:rsidRPr="00403E6A">
        <w:rPr>
          <w:rFonts w:ascii="Times New Roman" w:hAnsi="Times New Roman" w:cs="Times New Roman"/>
          <w:sz w:val="24"/>
          <w:szCs w:val="24"/>
        </w:rPr>
        <w:t xml:space="preserve"> in a 2012 report. </w:t>
      </w:r>
      <w:r w:rsidR="003D1AD4" w:rsidRPr="00403E6A">
        <w:rPr>
          <w:rFonts w:ascii="Times New Roman" w:hAnsi="Times New Roman" w:cs="Times New Roman"/>
          <w:sz w:val="24"/>
          <w:szCs w:val="24"/>
        </w:rPr>
        <w:t>The first, t</w:t>
      </w:r>
      <w:r w:rsidR="0022648C" w:rsidRPr="00403E6A">
        <w:rPr>
          <w:rFonts w:ascii="Times New Roman" w:hAnsi="Times New Roman" w:cs="Times New Roman"/>
          <w:sz w:val="24"/>
          <w:szCs w:val="24"/>
        </w:rPr>
        <w:t>he “one-sided</w:t>
      </w:r>
      <w:r w:rsidR="002F6CD9" w:rsidRPr="00403E6A">
        <w:rPr>
          <w:rFonts w:ascii="Times New Roman" w:hAnsi="Times New Roman" w:cs="Times New Roman"/>
          <w:sz w:val="24"/>
          <w:szCs w:val="24"/>
        </w:rPr>
        <w:t>” shared</w:t>
      </w:r>
      <w:r w:rsidR="008375A1" w:rsidRPr="00403E6A">
        <w:rPr>
          <w:rFonts w:ascii="Times New Roman" w:hAnsi="Times New Roman" w:cs="Times New Roman"/>
          <w:sz w:val="24"/>
          <w:szCs w:val="24"/>
        </w:rPr>
        <w:t>-</w:t>
      </w:r>
      <w:r w:rsidR="002F6CD9" w:rsidRPr="00403E6A">
        <w:rPr>
          <w:rFonts w:ascii="Times New Roman" w:hAnsi="Times New Roman" w:cs="Times New Roman"/>
          <w:sz w:val="24"/>
          <w:szCs w:val="24"/>
        </w:rPr>
        <w:t>savings agreement</w:t>
      </w:r>
      <w:r w:rsidR="003D1AD4" w:rsidRPr="00403E6A">
        <w:rPr>
          <w:rFonts w:ascii="Times New Roman" w:hAnsi="Times New Roman" w:cs="Times New Roman"/>
          <w:sz w:val="24"/>
          <w:szCs w:val="24"/>
        </w:rPr>
        <w:t>,</w:t>
      </w:r>
      <w:r w:rsidR="0022648C" w:rsidRPr="00403E6A">
        <w:rPr>
          <w:rFonts w:ascii="Times New Roman" w:hAnsi="Times New Roman" w:cs="Times New Roman"/>
          <w:sz w:val="24"/>
          <w:szCs w:val="24"/>
        </w:rPr>
        <w:t xml:space="preserve"> </w:t>
      </w:r>
      <w:r w:rsidR="00D56242" w:rsidRPr="00403E6A">
        <w:rPr>
          <w:rFonts w:ascii="Times New Roman" w:hAnsi="Times New Roman" w:cs="Times New Roman"/>
          <w:sz w:val="24"/>
          <w:szCs w:val="24"/>
        </w:rPr>
        <w:t xml:space="preserve">is an upside risk contract </w:t>
      </w:r>
      <w:r w:rsidR="008C79E4" w:rsidRPr="00403E6A">
        <w:rPr>
          <w:rFonts w:ascii="Times New Roman" w:hAnsi="Times New Roman" w:cs="Times New Roman"/>
          <w:sz w:val="24"/>
          <w:szCs w:val="24"/>
        </w:rPr>
        <w:t xml:space="preserve">in </w:t>
      </w:r>
      <w:r w:rsidR="00D56242" w:rsidRPr="00403E6A">
        <w:rPr>
          <w:rFonts w:ascii="Times New Roman" w:hAnsi="Times New Roman" w:cs="Times New Roman"/>
          <w:sz w:val="24"/>
          <w:szCs w:val="24"/>
        </w:rPr>
        <w:t xml:space="preserve">which </w:t>
      </w:r>
      <w:r w:rsidR="008C79E4" w:rsidRPr="00403E6A">
        <w:rPr>
          <w:rFonts w:ascii="Times New Roman" w:hAnsi="Times New Roman" w:cs="Times New Roman"/>
          <w:sz w:val="24"/>
          <w:szCs w:val="24"/>
        </w:rPr>
        <w:t>providers are eligible to receive a portion of savings if they meet quality of care standards while providing care at lower-than-projected costs.</w:t>
      </w:r>
      <w:r w:rsidR="005D7FAF">
        <w:rPr>
          <w:rStyle w:val="FootnoteReference"/>
          <w:rFonts w:ascii="Times New Roman" w:hAnsi="Times New Roman" w:cs="Times New Roman"/>
          <w:sz w:val="24"/>
          <w:szCs w:val="24"/>
        </w:rPr>
        <w:footnoteReference w:id="79"/>
      </w:r>
      <w:r w:rsidR="00661565" w:rsidRPr="00403E6A">
        <w:rPr>
          <w:rFonts w:ascii="Times New Roman" w:hAnsi="Times New Roman" w:cs="Times New Roman"/>
          <w:sz w:val="24"/>
          <w:szCs w:val="24"/>
        </w:rPr>
        <w:t xml:space="preserve"> </w:t>
      </w:r>
      <w:r w:rsidR="00E86E30" w:rsidRPr="00403E6A">
        <w:rPr>
          <w:rFonts w:ascii="Times New Roman" w:hAnsi="Times New Roman" w:cs="Times New Roman"/>
          <w:sz w:val="24"/>
          <w:szCs w:val="24"/>
        </w:rPr>
        <w:t xml:space="preserve">The second, </w:t>
      </w:r>
      <w:r w:rsidR="00AC43BC" w:rsidRPr="00403E6A">
        <w:rPr>
          <w:rFonts w:ascii="Times New Roman" w:hAnsi="Times New Roman" w:cs="Times New Roman"/>
          <w:sz w:val="24"/>
          <w:szCs w:val="24"/>
        </w:rPr>
        <w:t>the “two-sided</w:t>
      </w:r>
      <w:r w:rsidR="00AE2872" w:rsidRPr="00403E6A">
        <w:rPr>
          <w:rFonts w:ascii="Times New Roman" w:hAnsi="Times New Roman" w:cs="Times New Roman"/>
          <w:sz w:val="24"/>
          <w:szCs w:val="24"/>
        </w:rPr>
        <w:t xml:space="preserve">” </w:t>
      </w:r>
      <w:r w:rsidR="008375A1" w:rsidRPr="00403E6A">
        <w:rPr>
          <w:rFonts w:ascii="Times New Roman" w:hAnsi="Times New Roman" w:cs="Times New Roman"/>
          <w:sz w:val="24"/>
          <w:szCs w:val="24"/>
        </w:rPr>
        <w:t xml:space="preserve">shared-savings model, is one of </w:t>
      </w:r>
      <w:r w:rsidR="009D32DB" w:rsidRPr="00403E6A">
        <w:rPr>
          <w:rFonts w:ascii="Times New Roman" w:hAnsi="Times New Roman" w:cs="Times New Roman"/>
          <w:sz w:val="24"/>
          <w:szCs w:val="24"/>
        </w:rPr>
        <w:t xml:space="preserve">dual sided risk, in which ACOs still would receive payment primarily on </w:t>
      </w:r>
      <w:r w:rsidR="007F066C" w:rsidRPr="00403E6A">
        <w:rPr>
          <w:rFonts w:ascii="Times New Roman" w:hAnsi="Times New Roman" w:cs="Times New Roman"/>
          <w:sz w:val="24"/>
          <w:szCs w:val="24"/>
        </w:rPr>
        <w:t>an</w:t>
      </w:r>
      <w:r w:rsidR="009D32DB" w:rsidRPr="00403E6A">
        <w:rPr>
          <w:rFonts w:ascii="Times New Roman" w:hAnsi="Times New Roman" w:cs="Times New Roman"/>
          <w:sz w:val="24"/>
          <w:szCs w:val="24"/>
        </w:rPr>
        <w:t xml:space="preserve"> FFS basis and</w:t>
      </w:r>
      <w:r w:rsidR="007F066C" w:rsidRPr="00403E6A">
        <w:rPr>
          <w:rFonts w:ascii="Times New Roman" w:hAnsi="Times New Roman" w:cs="Times New Roman"/>
          <w:sz w:val="24"/>
          <w:szCs w:val="24"/>
        </w:rPr>
        <w:t xml:space="preserve"> </w:t>
      </w:r>
      <w:r w:rsidR="009D32DB" w:rsidRPr="00403E6A">
        <w:rPr>
          <w:rFonts w:ascii="Times New Roman" w:hAnsi="Times New Roman" w:cs="Times New Roman"/>
          <w:sz w:val="24"/>
          <w:szCs w:val="24"/>
        </w:rPr>
        <w:t>would be eligible to receive a portion of the savings. They also would be at risk, however, for a portion of spending over the designated target.</w:t>
      </w:r>
      <w:r w:rsidR="004D5E5F">
        <w:rPr>
          <w:rStyle w:val="FootnoteReference"/>
          <w:rFonts w:ascii="Times New Roman" w:hAnsi="Times New Roman" w:cs="Times New Roman"/>
          <w:sz w:val="24"/>
          <w:szCs w:val="24"/>
        </w:rPr>
        <w:footnoteReference w:id="80"/>
      </w:r>
      <w:r w:rsidR="007F066C" w:rsidRPr="00403E6A">
        <w:rPr>
          <w:rFonts w:ascii="Times New Roman" w:hAnsi="Times New Roman" w:cs="Times New Roman"/>
          <w:sz w:val="24"/>
          <w:szCs w:val="24"/>
        </w:rPr>
        <w:t xml:space="preserve"> </w:t>
      </w:r>
      <w:r w:rsidR="001A2433" w:rsidRPr="00403E6A">
        <w:rPr>
          <w:rFonts w:ascii="Times New Roman" w:hAnsi="Times New Roman" w:cs="Times New Roman"/>
          <w:sz w:val="24"/>
          <w:szCs w:val="24"/>
        </w:rPr>
        <w:t xml:space="preserve">Next, </w:t>
      </w:r>
      <w:r w:rsidR="00B243EC" w:rsidRPr="00403E6A">
        <w:rPr>
          <w:rFonts w:ascii="Times New Roman" w:hAnsi="Times New Roman" w:cs="Times New Roman"/>
          <w:sz w:val="24"/>
          <w:szCs w:val="24"/>
        </w:rPr>
        <w:t xml:space="preserve">the bundled/episode payment </w:t>
      </w:r>
      <w:r w:rsidR="00332B1F" w:rsidRPr="00403E6A">
        <w:rPr>
          <w:rFonts w:ascii="Times New Roman" w:hAnsi="Times New Roman" w:cs="Times New Roman"/>
          <w:sz w:val="24"/>
          <w:szCs w:val="24"/>
        </w:rPr>
        <w:t xml:space="preserve">arrangement, </w:t>
      </w:r>
      <w:r w:rsidR="00B16F0C" w:rsidRPr="00403E6A">
        <w:rPr>
          <w:rFonts w:ascii="Times New Roman" w:hAnsi="Times New Roman" w:cs="Times New Roman"/>
          <w:sz w:val="24"/>
          <w:szCs w:val="24"/>
        </w:rPr>
        <w:t>is one in which</w:t>
      </w:r>
      <w:r w:rsidR="00C250BB" w:rsidRPr="00403E6A">
        <w:rPr>
          <w:rFonts w:ascii="Times New Roman" w:hAnsi="Times New Roman" w:cs="Times New Roman"/>
          <w:sz w:val="24"/>
          <w:szCs w:val="24"/>
        </w:rPr>
        <w:t xml:space="preserve"> </w:t>
      </w:r>
      <w:r w:rsidR="00767EC5" w:rsidRPr="00403E6A">
        <w:rPr>
          <w:rFonts w:ascii="Times New Roman" w:hAnsi="Times New Roman" w:cs="Times New Roman"/>
          <w:sz w:val="24"/>
          <w:szCs w:val="24"/>
        </w:rPr>
        <w:t>provider organizations</w:t>
      </w:r>
      <w:r w:rsidR="00B16F0C" w:rsidRPr="00403E6A">
        <w:rPr>
          <w:rFonts w:ascii="Times New Roman" w:hAnsi="Times New Roman" w:cs="Times New Roman"/>
          <w:sz w:val="24"/>
          <w:szCs w:val="24"/>
        </w:rPr>
        <w:t xml:space="preserve"> </w:t>
      </w:r>
      <w:r w:rsidR="00767EC5" w:rsidRPr="00403E6A">
        <w:rPr>
          <w:rFonts w:ascii="Times New Roman" w:hAnsi="Times New Roman" w:cs="Times New Roman"/>
          <w:sz w:val="24"/>
          <w:szCs w:val="24"/>
        </w:rPr>
        <w:t xml:space="preserve">receive a </w:t>
      </w:r>
      <w:r w:rsidR="00C250BB" w:rsidRPr="00403E6A">
        <w:rPr>
          <w:rFonts w:ascii="Times New Roman" w:hAnsi="Times New Roman" w:cs="Times New Roman"/>
          <w:sz w:val="24"/>
          <w:szCs w:val="24"/>
        </w:rPr>
        <w:t xml:space="preserve">lump sum </w:t>
      </w:r>
      <w:r w:rsidR="00767EC5" w:rsidRPr="00403E6A">
        <w:rPr>
          <w:rFonts w:ascii="Times New Roman" w:hAnsi="Times New Roman" w:cs="Times New Roman"/>
          <w:sz w:val="24"/>
          <w:szCs w:val="24"/>
        </w:rPr>
        <w:t>payment for all the services a</w:t>
      </w:r>
      <w:r w:rsidR="00B16F0C" w:rsidRPr="00403E6A">
        <w:rPr>
          <w:rFonts w:ascii="Times New Roman" w:hAnsi="Times New Roman" w:cs="Times New Roman"/>
          <w:sz w:val="24"/>
          <w:szCs w:val="24"/>
        </w:rPr>
        <w:t xml:space="preserve"> </w:t>
      </w:r>
      <w:r w:rsidR="00767EC5" w:rsidRPr="00403E6A">
        <w:rPr>
          <w:rFonts w:ascii="Times New Roman" w:hAnsi="Times New Roman" w:cs="Times New Roman"/>
          <w:sz w:val="24"/>
          <w:szCs w:val="24"/>
        </w:rPr>
        <w:t>patient requires for an entire episode of care</w:t>
      </w:r>
      <w:r w:rsidR="00B16F0C" w:rsidRPr="00403E6A">
        <w:rPr>
          <w:rFonts w:ascii="Times New Roman" w:hAnsi="Times New Roman" w:cs="Times New Roman"/>
          <w:sz w:val="24"/>
          <w:szCs w:val="24"/>
        </w:rPr>
        <w:t>.</w:t>
      </w:r>
      <w:r w:rsidR="004D5E5F">
        <w:rPr>
          <w:rStyle w:val="FootnoteReference"/>
          <w:rFonts w:ascii="Times New Roman" w:hAnsi="Times New Roman" w:cs="Times New Roman"/>
          <w:sz w:val="24"/>
          <w:szCs w:val="24"/>
        </w:rPr>
        <w:footnoteReference w:id="81"/>
      </w:r>
      <w:r w:rsidR="00811B04" w:rsidRPr="00403E6A">
        <w:rPr>
          <w:rFonts w:ascii="Times New Roman" w:hAnsi="Times New Roman" w:cs="Times New Roman"/>
          <w:sz w:val="24"/>
          <w:szCs w:val="24"/>
        </w:rPr>
        <w:t xml:space="preserve"> Here, the ACO and its providers take on </w:t>
      </w:r>
      <w:r w:rsidR="00C500CC" w:rsidRPr="00403E6A">
        <w:rPr>
          <w:rFonts w:ascii="Times New Roman" w:hAnsi="Times New Roman" w:cs="Times New Roman"/>
          <w:sz w:val="24"/>
          <w:szCs w:val="24"/>
        </w:rPr>
        <w:t xml:space="preserve">the </w:t>
      </w:r>
      <w:r w:rsidR="00811B04" w:rsidRPr="00403E6A">
        <w:rPr>
          <w:rFonts w:ascii="Times New Roman" w:hAnsi="Times New Roman" w:cs="Times New Roman"/>
          <w:sz w:val="24"/>
          <w:szCs w:val="24"/>
        </w:rPr>
        <w:t xml:space="preserve">downside risk </w:t>
      </w:r>
      <w:r w:rsidR="001E3ACE" w:rsidRPr="00403E6A">
        <w:rPr>
          <w:rFonts w:ascii="Times New Roman" w:hAnsi="Times New Roman" w:cs="Times New Roman"/>
          <w:sz w:val="24"/>
          <w:szCs w:val="24"/>
        </w:rPr>
        <w:t xml:space="preserve">pertaining to </w:t>
      </w:r>
      <w:r w:rsidR="00C500CC" w:rsidRPr="00403E6A">
        <w:rPr>
          <w:rFonts w:ascii="Times New Roman" w:hAnsi="Times New Roman" w:cs="Times New Roman"/>
          <w:sz w:val="24"/>
          <w:szCs w:val="24"/>
        </w:rPr>
        <w:t>complication</w:t>
      </w:r>
      <w:r w:rsidR="001E3ACE" w:rsidRPr="00403E6A">
        <w:rPr>
          <w:rFonts w:ascii="Times New Roman" w:hAnsi="Times New Roman" w:cs="Times New Roman"/>
          <w:sz w:val="24"/>
          <w:szCs w:val="24"/>
        </w:rPr>
        <w:t xml:space="preserve">s during the </w:t>
      </w:r>
      <w:r w:rsidR="00BA319E" w:rsidRPr="00403E6A">
        <w:rPr>
          <w:rFonts w:ascii="Times New Roman" w:hAnsi="Times New Roman" w:cs="Times New Roman"/>
          <w:sz w:val="24"/>
          <w:szCs w:val="24"/>
        </w:rPr>
        <w:t>episode of care.</w:t>
      </w:r>
      <w:r w:rsidR="004D5E5F">
        <w:rPr>
          <w:rStyle w:val="FootnoteReference"/>
          <w:rFonts w:ascii="Times New Roman" w:hAnsi="Times New Roman" w:cs="Times New Roman"/>
          <w:sz w:val="24"/>
          <w:szCs w:val="24"/>
        </w:rPr>
        <w:footnoteReference w:id="82"/>
      </w:r>
      <w:r w:rsidR="00661565" w:rsidRPr="00403E6A">
        <w:rPr>
          <w:rFonts w:ascii="Times New Roman" w:hAnsi="Times New Roman" w:cs="Times New Roman"/>
          <w:sz w:val="24"/>
          <w:szCs w:val="24"/>
        </w:rPr>
        <w:t xml:space="preserve"> </w:t>
      </w:r>
      <w:r w:rsidR="00E42F97" w:rsidRPr="00403E6A">
        <w:rPr>
          <w:rFonts w:ascii="Times New Roman" w:hAnsi="Times New Roman" w:cs="Times New Roman"/>
          <w:sz w:val="24"/>
          <w:szCs w:val="24"/>
        </w:rPr>
        <w:t xml:space="preserve">Fourth, </w:t>
      </w:r>
      <w:r w:rsidR="00DE5601" w:rsidRPr="00403E6A">
        <w:rPr>
          <w:rFonts w:ascii="Times New Roman" w:hAnsi="Times New Roman" w:cs="Times New Roman"/>
          <w:sz w:val="24"/>
          <w:szCs w:val="24"/>
        </w:rPr>
        <w:t xml:space="preserve">the </w:t>
      </w:r>
      <w:r w:rsidR="00841E39" w:rsidRPr="00403E6A">
        <w:rPr>
          <w:rFonts w:ascii="Times New Roman" w:hAnsi="Times New Roman" w:cs="Times New Roman"/>
          <w:sz w:val="24"/>
          <w:szCs w:val="24"/>
        </w:rPr>
        <w:t>part</w:t>
      </w:r>
      <w:r w:rsidR="00DE5601" w:rsidRPr="00403E6A">
        <w:rPr>
          <w:rFonts w:ascii="Times New Roman" w:hAnsi="Times New Roman" w:cs="Times New Roman"/>
          <w:sz w:val="24"/>
          <w:szCs w:val="24"/>
        </w:rPr>
        <w:t>ial</w:t>
      </w:r>
      <w:r w:rsidR="00841E39" w:rsidRPr="00403E6A">
        <w:rPr>
          <w:rFonts w:ascii="Times New Roman" w:hAnsi="Times New Roman" w:cs="Times New Roman"/>
          <w:sz w:val="24"/>
          <w:szCs w:val="24"/>
        </w:rPr>
        <w:t xml:space="preserve"> capitation</w:t>
      </w:r>
      <w:r w:rsidR="00DE5601" w:rsidRPr="00403E6A">
        <w:rPr>
          <w:rFonts w:ascii="Times New Roman" w:hAnsi="Times New Roman" w:cs="Times New Roman"/>
          <w:sz w:val="24"/>
          <w:szCs w:val="24"/>
        </w:rPr>
        <w:t xml:space="preserve"> model, </w:t>
      </w:r>
      <w:r w:rsidR="00D83D87" w:rsidRPr="00403E6A">
        <w:rPr>
          <w:rFonts w:ascii="Times New Roman" w:hAnsi="Times New Roman" w:cs="Times New Roman"/>
          <w:sz w:val="24"/>
          <w:szCs w:val="24"/>
        </w:rPr>
        <w:t xml:space="preserve">is an agreement in which </w:t>
      </w:r>
      <w:r w:rsidR="00604AEF" w:rsidRPr="00403E6A">
        <w:rPr>
          <w:rFonts w:ascii="Times New Roman" w:hAnsi="Times New Roman" w:cs="Times New Roman"/>
          <w:sz w:val="24"/>
          <w:szCs w:val="24"/>
        </w:rPr>
        <w:t xml:space="preserve">providers </w:t>
      </w:r>
      <w:r w:rsidR="007663B6" w:rsidRPr="00403E6A">
        <w:rPr>
          <w:rFonts w:ascii="Times New Roman" w:hAnsi="Times New Roman" w:cs="Times New Roman"/>
          <w:sz w:val="24"/>
          <w:szCs w:val="24"/>
        </w:rPr>
        <w:t>receive a fixed dollar payment for specific services that patients may receive in a given time</w:t>
      </w:r>
      <w:r w:rsidR="00B4269B" w:rsidRPr="00403E6A">
        <w:rPr>
          <w:rFonts w:ascii="Times New Roman" w:hAnsi="Times New Roman" w:cs="Times New Roman"/>
          <w:sz w:val="24"/>
          <w:szCs w:val="24"/>
        </w:rPr>
        <w:t xml:space="preserve"> period</w:t>
      </w:r>
      <w:r w:rsidR="007663B6" w:rsidRPr="00403E6A">
        <w:rPr>
          <w:rFonts w:ascii="Times New Roman" w:hAnsi="Times New Roman" w:cs="Times New Roman"/>
          <w:sz w:val="24"/>
          <w:szCs w:val="24"/>
        </w:rPr>
        <w:t>.</w:t>
      </w:r>
      <w:r w:rsidR="00052D85">
        <w:rPr>
          <w:rStyle w:val="FootnoteReference"/>
          <w:rFonts w:ascii="Times New Roman" w:hAnsi="Times New Roman" w:cs="Times New Roman"/>
          <w:sz w:val="24"/>
          <w:szCs w:val="24"/>
        </w:rPr>
        <w:footnoteReference w:id="83"/>
      </w:r>
      <w:r w:rsidR="007663B6" w:rsidRPr="00403E6A">
        <w:rPr>
          <w:rFonts w:ascii="Times New Roman" w:hAnsi="Times New Roman" w:cs="Times New Roman"/>
          <w:sz w:val="24"/>
          <w:szCs w:val="24"/>
        </w:rPr>
        <w:t xml:space="preserve"> </w:t>
      </w:r>
      <w:r w:rsidR="00A11617" w:rsidRPr="00403E6A">
        <w:rPr>
          <w:rFonts w:ascii="Times New Roman" w:hAnsi="Times New Roman" w:cs="Times New Roman"/>
          <w:sz w:val="24"/>
          <w:szCs w:val="24"/>
        </w:rPr>
        <w:t xml:space="preserve">In partial capitation, the ACO </w:t>
      </w:r>
      <w:r w:rsidR="00D83D87" w:rsidRPr="00403E6A">
        <w:rPr>
          <w:rFonts w:ascii="Times New Roman" w:hAnsi="Times New Roman" w:cs="Times New Roman"/>
          <w:sz w:val="24"/>
          <w:szCs w:val="24"/>
        </w:rPr>
        <w:t xml:space="preserve">is at risk </w:t>
      </w:r>
      <w:r w:rsidR="00F577E5" w:rsidRPr="00403E6A">
        <w:rPr>
          <w:rFonts w:ascii="Times New Roman" w:hAnsi="Times New Roman" w:cs="Times New Roman"/>
          <w:sz w:val="24"/>
          <w:szCs w:val="24"/>
        </w:rPr>
        <w:t xml:space="preserve">for some of the </w:t>
      </w:r>
      <w:r w:rsidR="009270D4" w:rsidRPr="00403E6A">
        <w:rPr>
          <w:rFonts w:ascii="Times New Roman" w:hAnsi="Times New Roman" w:cs="Times New Roman"/>
          <w:sz w:val="24"/>
          <w:szCs w:val="24"/>
        </w:rPr>
        <w:t>services and care provided to patients.</w:t>
      </w:r>
      <w:r w:rsidR="00094DAA">
        <w:rPr>
          <w:rStyle w:val="FootnoteReference"/>
          <w:rFonts w:ascii="Times New Roman" w:hAnsi="Times New Roman" w:cs="Times New Roman"/>
          <w:sz w:val="24"/>
          <w:szCs w:val="24"/>
        </w:rPr>
        <w:footnoteReference w:id="84"/>
      </w:r>
      <w:r w:rsidR="009270D4" w:rsidRPr="00403E6A">
        <w:rPr>
          <w:rFonts w:ascii="Times New Roman" w:hAnsi="Times New Roman" w:cs="Times New Roman"/>
          <w:sz w:val="24"/>
          <w:szCs w:val="24"/>
        </w:rPr>
        <w:t xml:space="preserve"> </w:t>
      </w:r>
      <w:r w:rsidR="00645754" w:rsidRPr="00403E6A">
        <w:rPr>
          <w:rFonts w:ascii="Times New Roman" w:hAnsi="Times New Roman" w:cs="Times New Roman"/>
          <w:sz w:val="24"/>
          <w:szCs w:val="24"/>
        </w:rPr>
        <w:t xml:space="preserve">For example, the ACO may be at risk for hospital </w:t>
      </w:r>
      <w:r w:rsidR="00645754" w:rsidRPr="00403E6A">
        <w:rPr>
          <w:rFonts w:ascii="Times New Roman" w:hAnsi="Times New Roman" w:cs="Times New Roman"/>
          <w:sz w:val="24"/>
          <w:szCs w:val="24"/>
        </w:rPr>
        <w:lastRenderedPageBreak/>
        <w:t xml:space="preserve">care but not physician services. </w:t>
      </w:r>
      <w:r w:rsidR="003553D8" w:rsidRPr="00403E6A">
        <w:rPr>
          <w:rFonts w:ascii="Times New Roman" w:hAnsi="Times New Roman" w:cs="Times New Roman"/>
          <w:sz w:val="24"/>
          <w:szCs w:val="24"/>
        </w:rPr>
        <w:t>Last</w:t>
      </w:r>
      <w:r w:rsidR="00E9285E" w:rsidRPr="00403E6A">
        <w:rPr>
          <w:rFonts w:ascii="Times New Roman" w:hAnsi="Times New Roman" w:cs="Times New Roman"/>
          <w:sz w:val="24"/>
          <w:szCs w:val="24"/>
        </w:rPr>
        <w:t>ly</w:t>
      </w:r>
      <w:r w:rsidR="003553D8" w:rsidRPr="00403E6A">
        <w:rPr>
          <w:rFonts w:ascii="Times New Roman" w:hAnsi="Times New Roman" w:cs="Times New Roman"/>
          <w:sz w:val="24"/>
          <w:szCs w:val="24"/>
        </w:rPr>
        <w:t xml:space="preserve">, </w:t>
      </w:r>
      <w:r w:rsidR="00643D64" w:rsidRPr="00403E6A">
        <w:rPr>
          <w:rFonts w:ascii="Times New Roman" w:hAnsi="Times New Roman" w:cs="Times New Roman"/>
          <w:sz w:val="24"/>
          <w:szCs w:val="24"/>
        </w:rPr>
        <w:t>global payment</w:t>
      </w:r>
      <w:r w:rsidR="00E9285E" w:rsidRPr="00403E6A">
        <w:rPr>
          <w:rFonts w:ascii="Times New Roman" w:hAnsi="Times New Roman" w:cs="Times New Roman"/>
          <w:sz w:val="24"/>
          <w:szCs w:val="24"/>
        </w:rPr>
        <w:t>s</w:t>
      </w:r>
      <w:r w:rsidR="006A15BD" w:rsidRPr="00403E6A">
        <w:rPr>
          <w:rFonts w:ascii="Times New Roman" w:hAnsi="Times New Roman" w:cs="Times New Roman"/>
          <w:sz w:val="24"/>
          <w:szCs w:val="24"/>
        </w:rPr>
        <w:t xml:space="preserve">, which incorporates </w:t>
      </w:r>
      <w:r w:rsidR="00A87345" w:rsidRPr="00403E6A">
        <w:rPr>
          <w:rFonts w:ascii="Times New Roman" w:hAnsi="Times New Roman" w:cs="Times New Roman"/>
          <w:sz w:val="24"/>
          <w:szCs w:val="24"/>
        </w:rPr>
        <w:t xml:space="preserve">a high-end of </w:t>
      </w:r>
      <w:r w:rsidR="006A15BD" w:rsidRPr="00403E6A">
        <w:rPr>
          <w:rFonts w:ascii="Times New Roman" w:hAnsi="Times New Roman" w:cs="Times New Roman"/>
          <w:sz w:val="24"/>
          <w:szCs w:val="24"/>
        </w:rPr>
        <w:t>risk</w:t>
      </w:r>
      <w:r w:rsidR="00643D64" w:rsidRPr="00403E6A">
        <w:rPr>
          <w:rFonts w:ascii="Times New Roman" w:hAnsi="Times New Roman" w:cs="Times New Roman"/>
          <w:sz w:val="24"/>
          <w:szCs w:val="24"/>
        </w:rPr>
        <w:t xml:space="preserve"> </w:t>
      </w:r>
      <w:r w:rsidR="00A87345" w:rsidRPr="00403E6A">
        <w:rPr>
          <w:rFonts w:ascii="Times New Roman" w:hAnsi="Times New Roman" w:cs="Times New Roman"/>
          <w:sz w:val="24"/>
          <w:szCs w:val="24"/>
        </w:rPr>
        <w:t>for the ACO,</w:t>
      </w:r>
      <w:r w:rsidR="001445F1" w:rsidRPr="00403E6A">
        <w:rPr>
          <w:rFonts w:ascii="Times New Roman" w:hAnsi="Times New Roman" w:cs="Times New Roman"/>
          <w:sz w:val="24"/>
          <w:szCs w:val="24"/>
        </w:rPr>
        <w:t xml:space="preserve"> pays the network agreed upon monthly or annual payments regardless</w:t>
      </w:r>
      <w:r w:rsidR="001566CD" w:rsidRPr="00403E6A">
        <w:rPr>
          <w:rFonts w:ascii="Times New Roman" w:hAnsi="Times New Roman" w:cs="Times New Roman"/>
          <w:sz w:val="24"/>
          <w:szCs w:val="24"/>
        </w:rPr>
        <w:t xml:space="preserve"> </w:t>
      </w:r>
      <w:r w:rsidR="001445F1" w:rsidRPr="00403E6A">
        <w:rPr>
          <w:rFonts w:ascii="Times New Roman" w:hAnsi="Times New Roman" w:cs="Times New Roman"/>
          <w:sz w:val="24"/>
          <w:szCs w:val="24"/>
        </w:rPr>
        <w:t xml:space="preserve">of services </w:t>
      </w:r>
      <w:r w:rsidR="001566CD" w:rsidRPr="00403E6A">
        <w:rPr>
          <w:rFonts w:ascii="Times New Roman" w:hAnsi="Times New Roman" w:cs="Times New Roman"/>
          <w:sz w:val="24"/>
          <w:szCs w:val="24"/>
        </w:rPr>
        <w:t xml:space="preserve">given </w:t>
      </w:r>
      <w:r w:rsidR="001445F1" w:rsidRPr="00403E6A">
        <w:rPr>
          <w:rFonts w:ascii="Times New Roman" w:hAnsi="Times New Roman" w:cs="Times New Roman"/>
          <w:sz w:val="24"/>
          <w:szCs w:val="24"/>
        </w:rPr>
        <w:t xml:space="preserve">or costs </w:t>
      </w:r>
      <w:r w:rsidR="001566CD" w:rsidRPr="00403E6A">
        <w:rPr>
          <w:rFonts w:ascii="Times New Roman" w:hAnsi="Times New Roman" w:cs="Times New Roman"/>
          <w:sz w:val="24"/>
          <w:szCs w:val="24"/>
        </w:rPr>
        <w:t>realized</w:t>
      </w:r>
      <w:r w:rsidR="001445F1" w:rsidRPr="00403E6A">
        <w:rPr>
          <w:rFonts w:ascii="Times New Roman" w:hAnsi="Times New Roman" w:cs="Times New Roman"/>
          <w:sz w:val="24"/>
          <w:szCs w:val="24"/>
        </w:rPr>
        <w:t>.</w:t>
      </w:r>
      <w:r w:rsidR="00A32175">
        <w:rPr>
          <w:rStyle w:val="FootnoteReference"/>
          <w:rFonts w:ascii="Times New Roman" w:hAnsi="Times New Roman" w:cs="Times New Roman"/>
          <w:sz w:val="24"/>
          <w:szCs w:val="24"/>
        </w:rPr>
        <w:footnoteReference w:id="85"/>
      </w:r>
      <w:r w:rsidR="001445F1" w:rsidRPr="00403E6A">
        <w:rPr>
          <w:rFonts w:ascii="Times New Roman" w:hAnsi="Times New Roman" w:cs="Times New Roman"/>
          <w:sz w:val="24"/>
          <w:szCs w:val="24"/>
        </w:rPr>
        <w:t xml:space="preserve"> </w:t>
      </w:r>
      <w:r w:rsidR="00972981" w:rsidRPr="00403E6A">
        <w:rPr>
          <w:rFonts w:ascii="Times New Roman" w:hAnsi="Times New Roman" w:cs="Times New Roman"/>
          <w:sz w:val="24"/>
          <w:szCs w:val="24"/>
        </w:rPr>
        <w:t>The</w:t>
      </w:r>
      <w:r w:rsidR="001B1356" w:rsidRPr="00403E6A">
        <w:rPr>
          <w:rFonts w:ascii="Times New Roman" w:hAnsi="Times New Roman" w:cs="Times New Roman"/>
          <w:sz w:val="24"/>
          <w:szCs w:val="24"/>
        </w:rPr>
        <w:t xml:space="preserve"> ACO bears the risk that payments received are insufficient to cover the costs of the services it provides.</w:t>
      </w:r>
      <w:r w:rsidR="00A32175">
        <w:rPr>
          <w:rStyle w:val="FootnoteReference"/>
          <w:rFonts w:ascii="Times New Roman" w:hAnsi="Times New Roman" w:cs="Times New Roman"/>
          <w:sz w:val="24"/>
          <w:szCs w:val="24"/>
        </w:rPr>
        <w:footnoteReference w:id="86"/>
      </w:r>
      <w:r w:rsidR="00983857" w:rsidRPr="00403E6A">
        <w:rPr>
          <w:rFonts w:ascii="Times New Roman" w:hAnsi="Times New Roman" w:cs="Times New Roman"/>
          <w:sz w:val="24"/>
          <w:szCs w:val="24"/>
        </w:rPr>
        <w:t xml:space="preserve"> </w:t>
      </w:r>
    </w:p>
    <w:p w14:paraId="16239660" w14:textId="1A577489" w:rsidR="00B45050" w:rsidRPr="00403E6A" w:rsidRDefault="00C36172" w:rsidP="00B45050">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t xml:space="preserve">Unfortunately, </w:t>
      </w:r>
      <w:r w:rsidR="003D0F60" w:rsidRPr="00403E6A">
        <w:rPr>
          <w:rFonts w:ascii="Times New Roman" w:hAnsi="Times New Roman" w:cs="Times New Roman"/>
          <w:sz w:val="24"/>
          <w:szCs w:val="24"/>
        </w:rPr>
        <w:t xml:space="preserve">although these payment structures have attempted to address the fleeting </w:t>
      </w:r>
      <w:r w:rsidR="00EB1510" w:rsidRPr="00403E6A">
        <w:rPr>
          <w:rFonts w:ascii="Times New Roman" w:hAnsi="Times New Roman" w:cs="Times New Roman"/>
          <w:sz w:val="24"/>
          <w:szCs w:val="24"/>
        </w:rPr>
        <w:t xml:space="preserve">inefficiencies of </w:t>
      </w:r>
      <w:r w:rsidR="00F550E8" w:rsidRPr="00403E6A">
        <w:rPr>
          <w:rFonts w:ascii="Times New Roman" w:hAnsi="Times New Roman" w:cs="Times New Roman"/>
          <w:sz w:val="24"/>
          <w:szCs w:val="24"/>
        </w:rPr>
        <w:t xml:space="preserve">traditional </w:t>
      </w:r>
      <w:r w:rsidR="00EB1510" w:rsidRPr="00403E6A">
        <w:rPr>
          <w:rFonts w:ascii="Times New Roman" w:hAnsi="Times New Roman" w:cs="Times New Roman"/>
          <w:sz w:val="24"/>
          <w:szCs w:val="24"/>
        </w:rPr>
        <w:t>FFS, th</w:t>
      </w:r>
      <w:r w:rsidR="006927B9" w:rsidRPr="00403E6A">
        <w:rPr>
          <w:rFonts w:ascii="Times New Roman" w:hAnsi="Times New Roman" w:cs="Times New Roman"/>
          <w:sz w:val="24"/>
          <w:szCs w:val="24"/>
        </w:rPr>
        <w:t>ey</w:t>
      </w:r>
      <w:r w:rsidR="00EB1510" w:rsidRPr="00403E6A">
        <w:rPr>
          <w:rFonts w:ascii="Times New Roman" w:hAnsi="Times New Roman" w:cs="Times New Roman"/>
          <w:sz w:val="24"/>
          <w:szCs w:val="24"/>
        </w:rPr>
        <w:t xml:space="preserve"> </w:t>
      </w:r>
      <w:r w:rsidR="00651E53" w:rsidRPr="00403E6A">
        <w:rPr>
          <w:rFonts w:ascii="Times New Roman" w:hAnsi="Times New Roman" w:cs="Times New Roman"/>
          <w:sz w:val="24"/>
          <w:szCs w:val="24"/>
        </w:rPr>
        <w:t xml:space="preserve">have become </w:t>
      </w:r>
      <w:r w:rsidR="00B877DC" w:rsidRPr="00403E6A">
        <w:rPr>
          <w:rFonts w:ascii="Times New Roman" w:hAnsi="Times New Roman" w:cs="Times New Roman"/>
          <w:sz w:val="24"/>
          <w:szCs w:val="24"/>
        </w:rPr>
        <w:t>another contributor to the market concentration problem</w:t>
      </w:r>
      <w:r w:rsidR="00F40D37" w:rsidRPr="00403E6A">
        <w:rPr>
          <w:rFonts w:ascii="Times New Roman" w:hAnsi="Times New Roman" w:cs="Times New Roman"/>
          <w:sz w:val="24"/>
          <w:szCs w:val="24"/>
        </w:rPr>
        <w:t xml:space="preserve">. Because </w:t>
      </w:r>
      <w:r w:rsidR="00A108D5" w:rsidRPr="00403E6A">
        <w:rPr>
          <w:rFonts w:ascii="Times New Roman" w:hAnsi="Times New Roman" w:cs="Times New Roman"/>
          <w:sz w:val="24"/>
          <w:szCs w:val="24"/>
        </w:rPr>
        <w:t xml:space="preserve">these payment models cause </w:t>
      </w:r>
      <w:r w:rsidR="00732A1D" w:rsidRPr="00403E6A">
        <w:rPr>
          <w:rFonts w:ascii="Times New Roman" w:hAnsi="Times New Roman" w:cs="Times New Roman"/>
          <w:sz w:val="24"/>
          <w:szCs w:val="24"/>
        </w:rPr>
        <w:t xml:space="preserve">providers </w:t>
      </w:r>
      <w:r w:rsidR="00A108D5" w:rsidRPr="00403E6A">
        <w:rPr>
          <w:rFonts w:ascii="Times New Roman" w:hAnsi="Times New Roman" w:cs="Times New Roman"/>
          <w:sz w:val="24"/>
          <w:szCs w:val="24"/>
        </w:rPr>
        <w:t xml:space="preserve">to </w:t>
      </w:r>
      <w:r w:rsidR="00732A1D" w:rsidRPr="00403E6A">
        <w:rPr>
          <w:rFonts w:ascii="Times New Roman" w:hAnsi="Times New Roman" w:cs="Times New Roman"/>
          <w:sz w:val="24"/>
          <w:szCs w:val="24"/>
        </w:rPr>
        <w:t>e</w:t>
      </w:r>
      <w:r w:rsidR="00A108D5" w:rsidRPr="00403E6A">
        <w:rPr>
          <w:rFonts w:ascii="Times New Roman" w:hAnsi="Times New Roman" w:cs="Times New Roman"/>
          <w:sz w:val="24"/>
          <w:szCs w:val="24"/>
        </w:rPr>
        <w:t>ndure heightened risk, t</w:t>
      </w:r>
      <w:r w:rsidR="00BB41E1" w:rsidRPr="00403E6A">
        <w:rPr>
          <w:rFonts w:ascii="Times New Roman" w:hAnsi="Times New Roman" w:cs="Times New Roman"/>
          <w:sz w:val="24"/>
          <w:szCs w:val="24"/>
        </w:rPr>
        <w:t>he</w:t>
      </w:r>
      <w:r w:rsidR="00F8675F" w:rsidRPr="00403E6A">
        <w:rPr>
          <w:rFonts w:ascii="Times New Roman" w:hAnsi="Times New Roman" w:cs="Times New Roman"/>
          <w:sz w:val="24"/>
          <w:szCs w:val="24"/>
        </w:rPr>
        <w:t>y</w:t>
      </w:r>
      <w:r w:rsidR="00BB41E1" w:rsidRPr="00403E6A">
        <w:rPr>
          <w:rFonts w:ascii="Times New Roman" w:hAnsi="Times New Roman" w:cs="Times New Roman"/>
          <w:sz w:val="24"/>
          <w:szCs w:val="24"/>
        </w:rPr>
        <w:t xml:space="preserve"> </w:t>
      </w:r>
      <w:r w:rsidR="00191321" w:rsidRPr="00403E6A">
        <w:rPr>
          <w:rFonts w:ascii="Times New Roman" w:hAnsi="Times New Roman" w:cs="Times New Roman"/>
          <w:sz w:val="24"/>
          <w:szCs w:val="24"/>
        </w:rPr>
        <w:t xml:space="preserve">have </w:t>
      </w:r>
      <w:r w:rsidR="00F110F9" w:rsidRPr="00403E6A">
        <w:rPr>
          <w:rFonts w:ascii="Times New Roman" w:hAnsi="Times New Roman" w:cs="Times New Roman"/>
          <w:sz w:val="24"/>
          <w:szCs w:val="24"/>
        </w:rPr>
        <w:t>added a</w:t>
      </w:r>
      <w:r w:rsidR="00844171" w:rsidRPr="00403E6A">
        <w:rPr>
          <w:rFonts w:ascii="Times New Roman" w:hAnsi="Times New Roman" w:cs="Times New Roman"/>
          <w:sz w:val="24"/>
          <w:szCs w:val="24"/>
        </w:rPr>
        <w:t xml:space="preserve"> consolidation </w:t>
      </w:r>
      <w:r w:rsidR="00BB41E1" w:rsidRPr="00403E6A">
        <w:rPr>
          <w:rFonts w:ascii="Times New Roman" w:hAnsi="Times New Roman" w:cs="Times New Roman"/>
          <w:sz w:val="24"/>
          <w:szCs w:val="24"/>
        </w:rPr>
        <w:t>incentiv</w:t>
      </w:r>
      <w:r w:rsidR="00844171" w:rsidRPr="00403E6A">
        <w:rPr>
          <w:rFonts w:ascii="Times New Roman" w:hAnsi="Times New Roman" w:cs="Times New Roman"/>
          <w:sz w:val="24"/>
          <w:szCs w:val="24"/>
        </w:rPr>
        <w:t xml:space="preserve">e </w:t>
      </w:r>
      <w:r w:rsidR="00BB41E1" w:rsidRPr="00403E6A">
        <w:rPr>
          <w:rFonts w:ascii="Times New Roman" w:hAnsi="Times New Roman" w:cs="Times New Roman"/>
          <w:sz w:val="24"/>
          <w:szCs w:val="24"/>
        </w:rPr>
        <w:t>to improve profit margin</w:t>
      </w:r>
      <w:r w:rsidR="00F8675F" w:rsidRPr="00403E6A">
        <w:rPr>
          <w:rFonts w:ascii="Times New Roman" w:hAnsi="Times New Roman" w:cs="Times New Roman"/>
          <w:sz w:val="24"/>
          <w:szCs w:val="24"/>
        </w:rPr>
        <w:t>s</w:t>
      </w:r>
      <w:r w:rsidR="00A108D5" w:rsidRPr="00403E6A">
        <w:rPr>
          <w:rFonts w:ascii="Times New Roman" w:hAnsi="Times New Roman" w:cs="Times New Roman"/>
          <w:sz w:val="24"/>
          <w:szCs w:val="24"/>
        </w:rPr>
        <w:t>.</w:t>
      </w:r>
      <w:r w:rsidR="00691405">
        <w:rPr>
          <w:rStyle w:val="FootnoteReference"/>
          <w:rFonts w:ascii="Times New Roman" w:hAnsi="Times New Roman" w:cs="Times New Roman"/>
          <w:sz w:val="24"/>
          <w:szCs w:val="24"/>
        </w:rPr>
        <w:footnoteReference w:id="87"/>
      </w:r>
      <w:r w:rsidR="00A108D5" w:rsidRPr="00403E6A">
        <w:rPr>
          <w:rFonts w:ascii="Times New Roman" w:hAnsi="Times New Roman" w:cs="Times New Roman"/>
          <w:sz w:val="24"/>
          <w:szCs w:val="24"/>
        </w:rPr>
        <w:t xml:space="preserve"> </w:t>
      </w:r>
      <w:r w:rsidR="00543A87" w:rsidRPr="00403E6A">
        <w:rPr>
          <w:rFonts w:ascii="Times New Roman" w:hAnsi="Times New Roman" w:cs="Times New Roman"/>
          <w:sz w:val="24"/>
          <w:szCs w:val="24"/>
        </w:rPr>
        <w:t>The trend will likely continue, as the proportion of ACOs taking on any downside risk is generally increasing across all ACO types and sizes.</w:t>
      </w:r>
      <w:r w:rsidR="00343D90">
        <w:rPr>
          <w:rStyle w:val="FootnoteReference"/>
          <w:rFonts w:ascii="Times New Roman" w:hAnsi="Times New Roman" w:cs="Times New Roman"/>
          <w:sz w:val="24"/>
          <w:szCs w:val="24"/>
        </w:rPr>
        <w:footnoteReference w:id="88"/>
      </w:r>
      <w:r w:rsidR="00543A87" w:rsidRPr="00403E6A">
        <w:rPr>
          <w:rFonts w:ascii="Times New Roman" w:hAnsi="Times New Roman" w:cs="Times New Roman"/>
          <w:sz w:val="24"/>
          <w:szCs w:val="24"/>
        </w:rPr>
        <w:t xml:space="preserve"> </w:t>
      </w:r>
      <w:r w:rsidR="00515841" w:rsidRPr="00403E6A">
        <w:rPr>
          <w:rFonts w:ascii="Times New Roman" w:hAnsi="Times New Roman" w:cs="Times New Roman"/>
          <w:sz w:val="24"/>
          <w:szCs w:val="24"/>
        </w:rPr>
        <w:t xml:space="preserve">Moreover, </w:t>
      </w:r>
      <w:r w:rsidR="004E5A8C" w:rsidRPr="00403E6A">
        <w:rPr>
          <w:rFonts w:ascii="Times New Roman" w:hAnsi="Times New Roman" w:cs="Times New Roman"/>
          <w:sz w:val="24"/>
          <w:szCs w:val="24"/>
        </w:rPr>
        <w:t xml:space="preserve">32 percent </w:t>
      </w:r>
      <w:r w:rsidR="00F91D88" w:rsidRPr="00403E6A">
        <w:rPr>
          <w:rFonts w:ascii="Times New Roman" w:hAnsi="Times New Roman" w:cs="Times New Roman"/>
          <w:sz w:val="24"/>
          <w:szCs w:val="24"/>
        </w:rPr>
        <w:t xml:space="preserve">of </w:t>
      </w:r>
      <w:r w:rsidR="00165373" w:rsidRPr="00403E6A">
        <w:rPr>
          <w:rFonts w:ascii="Times New Roman" w:hAnsi="Times New Roman" w:cs="Times New Roman"/>
          <w:sz w:val="24"/>
          <w:szCs w:val="24"/>
        </w:rPr>
        <w:t>physician led</w:t>
      </w:r>
      <w:r w:rsidR="00515841" w:rsidRPr="00403E6A">
        <w:rPr>
          <w:rFonts w:ascii="Times New Roman" w:hAnsi="Times New Roman" w:cs="Times New Roman"/>
          <w:sz w:val="24"/>
          <w:szCs w:val="24"/>
        </w:rPr>
        <w:t xml:space="preserve"> ACOs</w:t>
      </w:r>
      <w:r w:rsidR="00F91D88" w:rsidRPr="00403E6A">
        <w:rPr>
          <w:rFonts w:ascii="Times New Roman" w:hAnsi="Times New Roman" w:cs="Times New Roman"/>
          <w:sz w:val="24"/>
          <w:szCs w:val="24"/>
        </w:rPr>
        <w:t xml:space="preserve"> are participating in downside risk contracts</w:t>
      </w:r>
      <w:r w:rsidR="00515841" w:rsidRPr="00403E6A">
        <w:rPr>
          <w:rFonts w:ascii="Times New Roman" w:hAnsi="Times New Roman" w:cs="Times New Roman"/>
          <w:sz w:val="24"/>
          <w:szCs w:val="24"/>
        </w:rPr>
        <w:t xml:space="preserve">, </w:t>
      </w:r>
      <w:r w:rsidR="00F91D88" w:rsidRPr="00403E6A">
        <w:rPr>
          <w:rFonts w:ascii="Times New Roman" w:hAnsi="Times New Roman" w:cs="Times New Roman"/>
          <w:sz w:val="24"/>
          <w:szCs w:val="24"/>
        </w:rPr>
        <w:t xml:space="preserve">in comparison to 27 percent of </w:t>
      </w:r>
      <w:r w:rsidR="00515841" w:rsidRPr="00403E6A">
        <w:rPr>
          <w:rFonts w:ascii="Times New Roman" w:hAnsi="Times New Roman" w:cs="Times New Roman"/>
          <w:sz w:val="24"/>
          <w:szCs w:val="24"/>
        </w:rPr>
        <w:t>hospital led ACOs</w:t>
      </w:r>
      <w:r w:rsidR="00165373" w:rsidRPr="00403E6A">
        <w:rPr>
          <w:rFonts w:ascii="Times New Roman" w:hAnsi="Times New Roman" w:cs="Times New Roman"/>
          <w:sz w:val="24"/>
          <w:szCs w:val="24"/>
        </w:rPr>
        <w:t>.</w:t>
      </w:r>
      <w:r w:rsidR="00933049">
        <w:rPr>
          <w:rStyle w:val="FootnoteReference"/>
          <w:rFonts w:ascii="Times New Roman" w:hAnsi="Times New Roman" w:cs="Times New Roman"/>
          <w:sz w:val="24"/>
          <w:szCs w:val="24"/>
        </w:rPr>
        <w:footnoteReference w:id="89"/>
      </w:r>
      <w:r w:rsidR="00165373" w:rsidRPr="00403E6A">
        <w:rPr>
          <w:rFonts w:ascii="Times New Roman" w:hAnsi="Times New Roman" w:cs="Times New Roman"/>
          <w:sz w:val="24"/>
          <w:szCs w:val="24"/>
        </w:rPr>
        <w:t xml:space="preserve"> This is evidence that </w:t>
      </w:r>
      <w:r w:rsidR="005D0D48" w:rsidRPr="00403E6A">
        <w:rPr>
          <w:rFonts w:ascii="Times New Roman" w:hAnsi="Times New Roman" w:cs="Times New Roman"/>
          <w:sz w:val="24"/>
          <w:szCs w:val="24"/>
        </w:rPr>
        <w:t xml:space="preserve">these contracts are becoming more accepted, </w:t>
      </w:r>
      <w:r w:rsidR="0046236F" w:rsidRPr="00403E6A">
        <w:rPr>
          <w:rFonts w:ascii="Times New Roman" w:hAnsi="Times New Roman" w:cs="Times New Roman"/>
          <w:sz w:val="24"/>
          <w:szCs w:val="24"/>
        </w:rPr>
        <w:t>due to the concerns that physician groups would be reluctant due to smaller financial reserves</w:t>
      </w:r>
      <w:r w:rsidR="003F5CC8" w:rsidRPr="00403E6A">
        <w:rPr>
          <w:rFonts w:ascii="Times New Roman" w:hAnsi="Times New Roman" w:cs="Times New Roman"/>
          <w:sz w:val="24"/>
          <w:szCs w:val="24"/>
        </w:rPr>
        <w:t xml:space="preserve"> than hospital networks</w:t>
      </w:r>
      <w:r w:rsidR="0046236F" w:rsidRPr="00403E6A">
        <w:rPr>
          <w:rFonts w:ascii="Times New Roman" w:hAnsi="Times New Roman" w:cs="Times New Roman"/>
          <w:sz w:val="24"/>
          <w:szCs w:val="24"/>
        </w:rPr>
        <w:t>.</w:t>
      </w:r>
      <w:r w:rsidR="00933049">
        <w:rPr>
          <w:rStyle w:val="FootnoteReference"/>
          <w:rFonts w:ascii="Times New Roman" w:hAnsi="Times New Roman" w:cs="Times New Roman"/>
          <w:sz w:val="24"/>
          <w:szCs w:val="24"/>
        </w:rPr>
        <w:footnoteReference w:id="90"/>
      </w:r>
      <w:r w:rsidR="003F5CC8" w:rsidRPr="00403E6A">
        <w:rPr>
          <w:rFonts w:ascii="Times New Roman" w:hAnsi="Times New Roman" w:cs="Times New Roman"/>
          <w:sz w:val="24"/>
          <w:szCs w:val="24"/>
        </w:rPr>
        <w:t xml:space="preserve"> </w:t>
      </w:r>
      <w:r w:rsidR="00202DBE" w:rsidRPr="00403E6A">
        <w:rPr>
          <w:rFonts w:ascii="Times New Roman" w:hAnsi="Times New Roman" w:cs="Times New Roman"/>
          <w:sz w:val="24"/>
          <w:szCs w:val="24"/>
        </w:rPr>
        <w:t xml:space="preserve">This also </w:t>
      </w:r>
      <w:r w:rsidR="00F645B9" w:rsidRPr="00403E6A">
        <w:rPr>
          <w:rFonts w:ascii="Times New Roman" w:hAnsi="Times New Roman" w:cs="Times New Roman"/>
          <w:sz w:val="24"/>
          <w:szCs w:val="24"/>
        </w:rPr>
        <w:t xml:space="preserve">helps explain why larger ACOs are more likely to participate in downside risk </w:t>
      </w:r>
      <w:r w:rsidR="008A7E1D" w:rsidRPr="00403E6A">
        <w:rPr>
          <w:rFonts w:ascii="Times New Roman" w:hAnsi="Times New Roman" w:cs="Times New Roman"/>
          <w:sz w:val="24"/>
          <w:szCs w:val="24"/>
        </w:rPr>
        <w:t>contracts than smaller ACOs</w:t>
      </w:r>
      <w:r w:rsidR="00632123">
        <w:rPr>
          <w:rFonts w:ascii="Times New Roman" w:hAnsi="Times New Roman" w:cs="Times New Roman"/>
          <w:sz w:val="24"/>
          <w:szCs w:val="24"/>
        </w:rPr>
        <w:t>.</w:t>
      </w:r>
      <w:r w:rsidR="00DC40C8">
        <w:rPr>
          <w:rStyle w:val="FootnoteReference"/>
          <w:rFonts w:ascii="Times New Roman" w:hAnsi="Times New Roman" w:cs="Times New Roman"/>
          <w:sz w:val="24"/>
          <w:szCs w:val="24"/>
        </w:rPr>
        <w:footnoteReference w:id="91"/>
      </w:r>
      <w:r w:rsidR="008A7E1D" w:rsidRPr="00403E6A">
        <w:rPr>
          <w:rFonts w:ascii="Times New Roman" w:hAnsi="Times New Roman" w:cs="Times New Roman"/>
          <w:sz w:val="24"/>
          <w:szCs w:val="24"/>
        </w:rPr>
        <w:t xml:space="preserve"> </w:t>
      </w:r>
      <w:r w:rsidR="00022C66" w:rsidRPr="00403E6A">
        <w:rPr>
          <w:rFonts w:ascii="Times New Roman" w:hAnsi="Times New Roman" w:cs="Times New Roman"/>
          <w:sz w:val="24"/>
          <w:szCs w:val="24"/>
        </w:rPr>
        <w:t xml:space="preserve">If smaller ACOs </w:t>
      </w:r>
      <w:r w:rsidR="00F6018D" w:rsidRPr="00403E6A">
        <w:rPr>
          <w:rFonts w:ascii="Times New Roman" w:hAnsi="Times New Roman" w:cs="Times New Roman"/>
          <w:sz w:val="24"/>
          <w:szCs w:val="24"/>
        </w:rPr>
        <w:t>are to transition to downside risk contracts</w:t>
      </w:r>
      <w:r w:rsidR="00060CC4" w:rsidRPr="00403E6A">
        <w:rPr>
          <w:rFonts w:ascii="Times New Roman" w:hAnsi="Times New Roman" w:cs="Times New Roman"/>
          <w:sz w:val="24"/>
          <w:szCs w:val="24"/>
        </w:rPr>
        <w:t>,</w:t>
      </w:r>
      <w:r w:rsidR="00F6018D" w:rsidRPr="00403E6A">
        <w:rPr>
          <w:rFonts w:ascii="Times New Roman" w:hAnsi="Times New Roman" w:cs="Times New Roman"/>
          <w:sz w:val="24"/>
          <w:szCs w:val="24"/>
        </w:rPr>
        <w:t xml:space="preserve"> it is likely that they will </w:t>
      </w:r>
      <w:r w:rsidR="00C42486" w:rsidRPr="00403E6A">
        <w:rPr>
          <w:rFonts w:ascii="Times New Roman" w:hAnsi="Times New Roman" w:cs="Times New Roman"/>
          <w:sz w:val="24"/>
          <w:szCs w:val="24"/>
        </w:rPr>
        <w:t>need greater incentives, or</w:t>
      </w:r>
      <w:r w:rsidR="00F6018D" w:rsidRPr="00403E6A">
        <w:rPr>
          <w:rFonts w:ascii="Times New Roman" w:hAnsi="Times New Roman" w:cs="Times New Roman"/>
          <w:sz w:val="24"/>
          <w:szCs w:val="24"/>
        </w:rPr>
        <w:t xml:space="preserve"> merge </w:t>
      </w:r>
      <w:r w:rsidR="00C42486" w:rsidRPr="00403E6A">
        <w:rPr>
          <w:rFonts w:ascii="Times New Roman" w:hAnsi="Times New Roman" w:cs="Times New Roman"/>
          <w:sz w:val="24"/>
          <w:szCs w:val="24"/>
        </w:rPr>
        <w:t xml:space="preserve">with existing </w:t>
      </w:r>
      <w:r w:rsidR="00295242" w:rsidRPr="00403E6A">
        <w:rPr>
          <w:rFonts w:ascii="Times New Roman" w:hAnsi="Times New Roman" w:cs="Times New Roman"/>
          <w:sz w:val="24"/>
          <w:szCs w:val="24"/>
        </w:rPr>
        <w:t>networks.</w:t>
      </w:r>
      <w:r w:rsidR="001C6582">
        <w:rPr>
          <w:rStyle w:val="FootnoteReference"/>
          <w:rFonts w:ascii="Times New Roman" w:hAnsi="Times New Roman" w:cs="Times New Roman"/>
          <w:sz w:val="24"/>
          <w:szCs w:val="24"/>
        </w:rPr>
        <w:footnoteReference w:id="92"/>
      </w:r>
      <w:r w:rsidR="00295242" w:rsidRPr="00403E6A">
        <w:rPr>
          <w:rFonts w:ascii="Times New Roman" w:hAnsi="Times New Roman" w:cs="Times New Roman"/>
          <w:sz w:val="24"/>
          <w:szCs w:val="24"/>
        </w:rPr>
        <w:t xml:space="preserve"> </w:t>
      </w:r>
    </w:p>
    <w:p w14:paraId="1287C747" w14:textId="70BB9362" w:rsidR="005E5B95" w:rsidRPr="00403E6A" w:rsidRDefault="00856859" w:rsidP="00B45050">
      <w:pPr>
        <w:pStyle w:val="ListParagraph"/>
        <w:numPr>
          <w:ilvl w:val="0"/>
          <w:numId w:val="5"/>
        </w:numPr>
        <w:spacing w:after="0" w:line="480" w:lineRule="auto"/>
        <w:rPr>
          <w:rFonts w:ascii="Times New Roman" w:hAnsi="Times New Roman" w:cs="Times New Roman"/>
          <w:sz w:val="24"/>
          <w:szCs w:val="24"/>
        </w:rPr>
      </w:pPr>
      <w:r w:rsidRPr="00403E6A">
        <w:rPr>
          <w:rFonts w:ascii="Times New Roman" w:hAnsi="Times New Roman" w:cs="Times New Roman"/>
          <w:sz w:val="24"/>
          <w:szCs w:val="24"/>
          <w:u w:val="single"/>
        </w:rPr>
        <w:t xml:space="preserve">Antitrust Enforcement has Proven to be Anti-Trustworthy </w:t>
      </w:r>
    </w:p>
    <w:p w14:paraId="6A68912A" w14:textId="49D09206" w:rsidR="00206889" w:rsidRPr="00403E6A" w:rsidRDefault="005D59EB" w:rsidP="00377681">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t>As market concentration ha</w:t>
      </w:r>
      <w:r w:rsidR="00EC2068" w:rsidRPr="00403E6A">
        <w:rPr>
          <w:rFonts w:ascii="Times New Roman" w:hAnsi="Times New Roman" w:cs="Times New Roman"/>
          <w:sz w:val="24"/>
          <w:szCs w:val="24"/>
        </w:rPr>
        <w:t>s</w:t>
      </w:r>
      <w:r w:rsidRPr="00403E6A">
        <w:rPr>
          <w:rFonts w:ascii="Times New Roman" w:hAnsi="Times New Roman" w:cs="Times New Roman"/>
          <w:sz w:val="24"/>
          <w:szCs w:val="24"/>
        </w:rPr>
        <w:t xml:space="preserve"> set root in the American healthcare industry, </w:t>
      </w:r>
      <w:r w:rsidR="007464B2" w:rsidRPr="00403E6A">
        <w:rPr>
          <w:rFonts w:ascii="Times New Roman" w:hAnsi="Times New Roman" w:cs="Times New Roman"/>
          <w:sz w:val="24"/>
          <w:szCs w:val="24"/>
        </w:rPr>
        <w:t>it is important to analyze the roll that the Department of Justice</w:t>
      </w:r>
      <w:r w:rsidR="0043372A" w:rsidRPr="00403E6A">
        <w:rPr>
          <w:rFonts w:ascii="Times New Roman" w:hAnsi="Times New Roman" w:cs="Times New Roman"/>
          <w:sz w:val="24"/>
          <w:szCs w:val="24"/>
        </w:rPr>
        <w:t xml:space="preserve"> (DOJ)</w:t>
      </w:r>
      <w:r w:rsidR="00043F12" w:rsidRPr="00403E6A">
        <w:rPr>
          <w:rFonts w:ascii="Times New Roman" w:hAnsi="Times New Roman" w:cs="Times New Roman"/>
          <w:sz w:val="24"/>
          <w:szCs w:val="24"/>
        </w:rPr>
        <w:t xml:space="preserve">, </w:t>
      </w:r>
      <w:r w:rsidR="007464B2" w:rsidRPr="00403E6A">
        <w:rPr>
          <w:rFonts w:ascii="Times New Roman" w:hAnsi="Times New Roman" w:cs="Times New Roman"/>
          <w:sz w:val="24"/>
          <w:szCs w:val="24"/>
        </w:rPr>
        <w:t>the Federal Trade Commission</w:t>
      </w:r>
      <w:r w:rsidR="0043372A" w:rsidRPr="00403E6A">
        <w:rPr>
          <w:rFonts w:ascii="Times New Roman" w:hAnsi="Times New Roman" w:cs="Times New Roman"/>
          <w:sz w:val="24"/>
          <w:szCs w:val="24"/>
        </w:rPr>
        <w:t xml:space="preserve"> (FTC)</w:t>
      </w:r>
      <w:r w:rsidR="00043F12" w:rsidRPr="00403E6A">
        <w:rPr>
          <w:rFonts w:ascii="Times New Roman" w:hAnsi="Times New Roman" w:cs="Times New Roman"/>
          <w:sz w:val="24"/>
          <w:szCs w:val="24"/>
        </w:rPr>
        <w:t xml:space="preserve">, </w:t>
      </w:r>
      <w:r w:rsidR="00043F12" w:rsidRPr="00403E6A">
        <w:rPr>
          <w:rFonts w:ascii="Times New Roman" w:hAnsi="Times New Roman" w:cs="Times New Roman"/>
          <w:sz w:val="24"/>
          <w:szCs w:val="24"/>
        </w:rPr>
        <w:lastRenderedPageBreak/>
        <w:t xml:space="preserve">and </w:t>
      </w:r>
      <w:r w:rsidR="00A277A8" w:rsidRPr="00403E6A">
        <w:rPr>
          <w:rFonts w:ascii="Times New Roman" w:hAnsi="Times New Roman" w:cs="Times New Roman"/>
          <w:sz w:val="24"/>
          <w:szCs w:val="24"/>
        </w:rPr>
        <w:t>states</w:t>
      </w:r>
      <w:r w:rsidR="00043F12" w:rsidRPr="00403E6A">
        <w:rPr>
          <w:rFonts w:ascii="Times New Roman" w:hAnsi="Times New Roman" w:cs="Times New Roman"/>
          <w:sz w:val="24"/>
          <w:szCs w:val="24"/>
        </w:rPr>
        <w:t xml:space="preserve"> have </w:t>
      </w:r>
      <w:r w:rsidR="008A0CA1" w:rsidRPr="00403E6A">
        <w:rPr>
          <w:rFonts w:ascii="Times New Roman" w:hAnsi="Times New Roman" w:cs="Times New Roman"/>
          <w:sz w:val="24"/>
          <w:szCs w:val="24"/>
        </w:rPr>
        <w:t xml:space="preserve">(or have not) </w:t>
      </w:r>
      <w:r w:rsidR="00043F12" w:rsidRPr="00403E6A">
        <w:rPr>
          <w:rFonts w:ascii="Times New Roman" w:hAnsi="Times New Roman" w:cs="Times New Roman"/>
          <w:sz w:val="24"/>
          <w:szCs w:val="24"/>
        </w:rPr>
        <w:t xml:space="preserve">taken to address the issue. </w:t>
      </w:r>
      <w:r w:rsidR="00C833F0" w:rsidRPr="00403E6A">
        <w:rPr>
          <w:rFonts w:ascii="Times New Roman" w:hAnsi="Times New Roman" w:cs="Times New Roman"/>
          <w:sz w:val="24"/>
          <w:szCs w:val="24"/>
        </w:rPr>
        <w:t xml:space="preserve">These </w:t>
      </w:r>
      <w:r w:rsidR="00A277A8" w:rsidRPr="00403E6A">
        <w:rPr>
          <w:rFonts w:ascii="Times New Roman" w:hAnsi="Times New Roman" w:cs="Times New Roman"/>
          <w:sz w:val="24"/>
          <w:szCs w:val="24"/>
        </w:rPr>
        <w:t xml:space="preserve">government </w:t>
      </w:r>
      <w:r w:rsidR="00AE02EC" w:rsidRPr="00403E6A">
        <w:rPr>
          <w:rFonts w:ascii="Times New Roman" w:hAnsi="Times New Roman" w:cs="Times New Roman"/>
          <w:sz w:val="24"/>
          <w:szCs w:val="24"/>
        </w:rPr>
        <w:t xml:space="preserve">functionaries can act against </w:t>
      </w:r>
      <w:r w:rsidR="00771E7C" w:rsidRPr="00403E6A">
        <w:rPr>
          <w:rFonts w:ascii="Times New Roman" w:hAnsi="Times New Roman" w:cs="Times New Roman"/>
          <w:sz w:val="24"/>
          <w:szCs w:val="24"/>
        </w:rPr>
        <w:t xml:space="preserve">predatory pricing, </w:t>
      </w:r>
      <w:r w:rsidR="000B08DB" w:rsidRPr="00403E6A">
        <w:rPr>
          <w:rFonts w:ascii="Times New Roman" w:hAnsi="Times New Roman" w:cs="Times New Roman"/>
          <w:sz w:val="24"/>
          <w:szCs w:val="24"/>
        </w:rPr>
        <w:t xml:space="preserve">mergers that </w:t>
      </w:r>
      <w:r w:rsidR="008939C2" w:rsidRPr="00403E6A">
        <w:rPr>
          <w:rFonts w:ascii="Times New Roman" w:hAnsi="Times New Roman" w:cs="Times New Roman"/>
          <w:sz w:val="24"/>
          <w:szCs w:val="24"/>
        </w:rPr>
        <w:t>are anti</w:t>
      </w:r>
      <w:r w:rsidR="00FD7F9D" w:rsidRPr="00403E6A">
        <w:rPr>
          <w:rFonts w:ascii="Times New Roman" w:hAnsi="Times New Roman" w:cs="Times New Roman"/>
          <w:sz w:val="24"/>
          <w:szCs w:val="24"/>
        </w:rPr>
        <w:t>-c</w:t>
      </w:r>
      <w:r w:rsidR="000B08DB" w:rsidRPr="00403E6A">
        <w:rPr>
          <w:rFonts w:ascii="Times New Roman" w:hAnsi="Times New Roman" w:cs="Times New Roman"/>
          <w:sz w:val="24"/>
          <w:szCs w:val="24"/>
        </w:rPr>
        <w:t>ompetition</w:t>
      </w:r>
      <w:r w:rsidR="00DB319C" w:rsidRPr="00403E6A">
        <w:rPr>
          <w:rFonts w:ascii="Times New Roman" w:hAnsi="Times New Roman" w:cs="Times New Roman"/>
          <w:sz w:val="24"/>
          <w:szCs w:val="24"/>
        </w:rPr>
        <w:t xml:space="preserve">, </w:t>
      </w:r>
      <w:r w:rsidR="004A47BF" w:rsidRPr="00403E6A">
        <w:rPr>
          <w:rFonts w:ascii="Times New Roman" w:hAnsi="Times New Roman" w:cs="Times New Roman"/>
          <w:sz w:val="24"/>
          <w:szCs w:val="24"/>
        </w:rPr>
        <w:t xml:space="preserve">bid manipulation, </w:t>
      </w:r>
      <w:r w:rsidR="00083D91" w:rsidRPr="00403E6A">
        <w:rPr>
          <w:rFonts w:ascii="Times New Roman" w:hAnsi="Times New Roman" w:cs="Times New Roman"/>
          <w:sz w:val="24"/>
          <w:szCs w:val="24"/>
        </w:rPr>
        <w:t xml:space="preserve">and </w:t>
      </w:r>
      <w:r w:rsidR="000B08DB" w:rsidRPr="00403E6A">
        <w:rPr>
          <w:rFonts w:ascii="Times New Roman" w:hAnsi="Times New Roman" w:cs="Times New Roman"/>
          <w:sz w:val="24"/>
          <w:szCs w:val="24"/>
        </w:rPr>
        <w:t>other monopolistic behavior</w:t>
      </w:r>
      <w:r w:rsidR="00E91212">
        <w:rPr>
          <w:rFonts w:ascii="Times New Roman" w:hAnsi="Times New Roman" w:cs="Times New Roman"/>
          <w:sz w:val="24"/>
          <w:szCs w:val="24"/>
        </w:rPr>
        <w:t>s</w:t>
      </w:r>
      <w:r w:rsidR="000B08DB" w:rsidRPr="00403E6A">
        <w:rPr>
          <w:rFonts w:ascii="Times New Roman" w:hAnsi="Times New Roman" w:cs="Times New Roman"/>
          <w:sz w:val="24"/>
          <w:szCs w:val="24"/>
        </w:rPr>
        <w:t xml:space="preserve"> that </w:t>
      </w:r>
      <w:r w:rsidR="00360075" w:rsidRPr="00403E6A">
        <w:rPr>
          <w:rFonts w:ascii="Times New Roman" w:hAnsi="Times New Roman" w:cs="Times New Roman"/>
          <w:sz w:val="24"/>
          <w:szCs w:val="24"/>
        </w:rPr>
        <w:t>hurt</w:t>
      </w:r>
      <w:r w:rsidR="000B08DB" w:rsidRPr="00403E6A">
        <w:rPr>
          <w:rFonts w:ascii="Times New Roman" w:hAnsi="Times New Roman" w:cs="Times New Roman"/>
          <w:sz w:val="24"/>
          <w:szCs w:val="24"/>
        </w:rPr>
        <w:t xml:space="preserve"> consumers and the healthcare system writ large. </w:t>
      </w:r>
      <w:r w:rsidR="002B7A78" w:rsidRPr="00403E6A">
        <w:rPr>
          <w:rFonts w:ascii="Times New Roman" w:hAnsi="Times New Roman" w:cs="Times New Roman"/>
          <w:sz w:val="24"/>
          <w:szCs w:val="24"/>
        </w:rPr>
        <w:t>Unfortunately, according to antitrust experts, these law enforcement arms have pulled back from using the</w:t>
      </w:r>
      <w:r w:rsidR="00AB5122" w:rsidRPr="00403E6A">
        <w:rPr>
          <w:rFonts w:ascii="Times New Roman" w:hAnsi="Times New Roman" w:cs="Times New Roman"/>
          <w:sz w:val="24"/>
          <w:szCs w:val="24"/>
        </w:rPr>
        <w:t>se</w:t>
      </w:r>
      <w:r w:rsidR="002B7A78" w:rsidRPr="00403E6A">
        <w:rPr>
          <w:rFonts w:ascii="Times New Roman" w:hAnsi="Times New Roman" w:cs="Times New Roman"/>
          <w:sz w:val="24"/>
          <w:szCs w:val="24"/>
        </w:rPr>
        <w:t xml:space="preserve"> powers in recent years, which has helped enable the centralization of the U.S. healthcare system. </w:t>
      </w:r>
      <w:r w:rsidR="00AC05DF" w:rsidRPr="00403E6A">
        <w:rPr>
          <w:rFonts w:ascii="Times New Roman" w:hAnsi="Times New Roman" w:cs="Times New Roman"/>
          <w:sz w:val="24"/>
          <w:szCs w:val="24"/>
        </w:rPr>
        <w:t>Antitrust law expert Thomas Greaney</w:t>
      </w:r>
      <w:r w:rsidR="00557099" w:rsidRPr="00403E6A">
        <w:rPr>
          <w:rFonts w:ascii="Times New Roman" w:hAnsi="Times New Roman" w:cs="Times New Roman"/>
          <w:sz w:val="24"/>
          <w:szCs w:val="24"/>
        </w:rPr>
        <w:t xml:space="preserve"> </w:t>
      </w:r>
      <w:r w:rsidR="00130C3B" w:rsidRPr="00403E6A">
        <w:rPr>
          <w:rFonts w:ascii="Times New Roman" w:hAnsi="Times New Roman" w:cs="Times New Roman"/>
          <w:sz w:val="24"/>
          <w:szCs w:val="24"/>
        </w:rPr>
        <w:t>ha</w:t>
      </w:r>
      <w:r w:rsidR="00AC05DF" w:rsidRPr="00403E6A">
        <w:rPr>
          <w:rFonts w:ascii="Times New Roman" w:hAnsi="Times New Roman" w:cs="Times New Roman"/>
          <w:sz w:val="24"/>
          <w:szCs w:val="24"/>
        </w:rPr>
        <w:t xml:space="preserve">s </w:t>
      </w:r>
      <w:r w:rsidR="00855466" w:rsidRPr="00403E6A">
        <w:rPr>
          <w:rFonts w:ascii="Times New Roman" w:hAnsi="Times New Roman" w:cs="Times New Roman"/>
          <w:sz w:val="24"/>
          <w:szCs w:val="24"/>
        </w:rPr>
        <w:t>described</w:t>
      </w:r>
      <w:r w:rsidR="00AC05DF" w:rsidRPr="00403E6A">
        <w:rPr>
          <w:rFonts w:ascii="Times New Roman" w:hAnsi="Times New Roman" w:cs="Times New Roman"/>
          <w:sz w:val="24"/>
          <w:szCs w:val="24"/>
        </w:rPr>
        <w:t xml:space="preserve"> </w:t>
      </w:r>
      <w:r w:rsidR="00243AA2" w:rsidRPr="00403E6A">
        <w:rPr>
          <w:rFonts w:ascii="Times New Roman" w:hAnsi="Times New Roman" w:cs="Times New Roman"/>
          <w:sz w:val="24"/>
          <w:szCs w:val="24"/>
        </w:rPr>
        <w:t>antitrust</w:t>
      </w:r>
      <w:r w:rsidR="00F72922" w:rsidRPr="00403E6A">
        <w:rPr>
          <w:rFonts w:ascii="Times New Roman" w:hAnsi="Times New Roman" w:cs="Times New Roman"/>
          <w:sz w:val="24"/>
          <w:szCs w:val="24"/>
        </w:rPr>
        <w:t xml:space="preserve"> enforcement </w:t>
      </w:r>
      <w:r w:rsidR="00EB70ED" w:rsidRPr="00403E6A">
        <w:rPr>
          <w:rFonts w:ascii="Times New Roman" w:hAnsi="Times New Roman" w:cs="Times New Roman"/>
          <w:sz w:val="24"/>
          <w:szCs w:val="24"/>
        </w:rPr>
        <w:t xml:space="preserve">in healthcare </w:t>
      </w:r>
      <w:r w:rsidR="00855466" w:rsidRPr="00403E6A">
        <w:rPr>
          <w:rFonts w:ascii="Times New Roman" w:hAnsi="Times New Roman" w:cs="Times New Roman"/>
          <w:sz w:val="24"/>
          <w:szCs w:val="24"/>
        </w:rPr>
        <w:t xml:space="preserve">as a metaphorical </w:t>
      </w:r>
      <w:r w:rsidR="00243AA2" w:rsidRPr="00403E6A">
        <w:rPr>
          <w:rFonts w:ascii="Times New Roman" w:hAnsi="Times New Roman" w:cs="Times New Roman"/>
          <w:sz w:val="24"/>
          <w:szCs w:val="24"/>
        </w:rPr>
        <w:t>absentee</w:t>
      </w:r>
      <w:r w:rsidR="002B251C" w:rsidRPr="00403E6A">
        <w:rPr>
          <w:rFonts w:ascii="Times New Roman" w:hAnsi="Times New Roman" w:cs="Times New Roman"/>
          <w:sz w:val="24"/>
          <w:szCs w:val="24"/>
        </w:rPr>
        <w:t xml:space="preserve"> </w:t>
      </w:r>
      <w:r w:rsidR="00243AA2" w:rsidRPr="00403E6A">
        <w:rPr>
          <w:rFonts w:ascii="Times New Roman" w:hAnsi="Times New Roman" w:cs="Times New Roman"/>
          <w:sz w:val="24"/>
          <w:szCs w:val="24"/>
        </w:rPr>
        <w:t>father</w:t>
      </w:r>
      <w:r w:rsidR="00130C3B" w:rsidRPr="00403E6A">
        <w:rPr>
          <w:rFonts w:ascii="Times New Roman" w:hAnsi="Times New Roman" w:cs="Times New Roman"/>
          <w:sz w:val="24"/>
          <w:szCs w:val="24"/>
        </w:rPr>
        <w:t>.</w:t>
      </w:r>
      <w:r w:rsidR="00886F95">
        <w:rPr>
          <w:rStyle w:val="FootnoteReference"/>
          <w:rFonts w:ascii="Times New Roman" w:hAnsi="Times New Roman" w:cs="Times New Roman"/>
          <w:sz w:val="24"/>
          <w:szCs w:val="24"/>
        </w:rPr>
        <w:footnoteReference w:id="93"/>
      </w:r>
      <w:r w:rsidR="00100569" w:rsidRPr="00403E6A">
        <w:rPr>
          <w:rFonts w:ascii="Times New Roman" w:hAnsi="Times New Roman" w:cs="Times New Roman"/>
          <w:sz w:val="24"/>
          <w:szCs w:val="24"/>
        </w:rPr>
        <w:t xml:space="preserve"> </w:t>
      </w:r>
      <w:r w:rsidR="00FD2C42" w:rsidRPr="00403E6A">
        <w:rPr>
          <w:rFonts w:ascii="Times New Roman" w:hAnsi="Times New Roman" w:cs="Times New Roman"/>
          <w:sz w:val="24"/>
          <w:szCs w:val="24"/>
        </w:rPr>
        <w:t>To understand the failure</w:t>
      </w:r>
      <w:r w:rsidR="00FF5391" w:rsidRPr="00403E6A">
        <w:rPr>
          <w:rFonts w:ascii="Times New Roman" w:hAnsi="Times New Roman" w:cs="Times New Roman"/>
          <w:sz w:val="24"/>
          <w:szCs w:val="24"/>
        </w:rPr>
        <w:t>s</w:t>
      </w:r>
      <w:r w:rsidR="00FD2C42" w:rsidRPr="00403E6A">
        <w:rPr>
          <w:rFonts w:ascii="Times New Roman" w:hAnsi="Times New Roman" w:cs="Times New Roman"/>
          <w:sz w:val="24"/>
          <w:szCs w:val="24"/>
        </w:rPr>
        <w:t xml:space="preserve"> of antitrust enforcement in healthcare, it is important </w:t>
      </w:r>
      <w:r w:rsidR="00BF5D6C" w:rsidRPr="00403E6A">
        <w:rPr>
          <w:rFonts w:ascii="Times New Roman" w:hAnsi="Times New Roman" w:cs="Times New Roman"/>
          <w:sz w:val="24"/>
          <w:szCs w:val="24"/>
        </w:rPr>
        <w:t xml:space="preserve">to understand laws that govern </w:t>
      </w:r>
      <w:r w:rsidR="00F10146" w:rsidRPr="00403E6A">
        <w:rPr>
          <w:rFonts w:ascii="Times New Roman" w:hAnsi="Times New Roman" w:cs="Times New Roman"/>
          <w:sz w:val="24"/>
          <w:szCs w:val="24"/>
        </w:rPr>
        <w:t xml:space="preserve">the issue </w:t>
      </w:r>
      <w:r w:rsidR="00FD41FE" w:rsidRPr="00403E6A">
        <w:rPr>
          <w:rFonts w:ascii="Times New Roman" w:hAnsi="Times New Roman" w:cs="Times New Roman"/>
          <w:sz w:val="24"/>
          <w:szCs w:val="24"/>
        </w:rPr>
        <w:t xml:space="preserve">and its </w:t>
      </w:r>
      <w:r w:rsidR="00FF5391" w:rsidRPr="00403E6A">
        <w:rPr>
          <w:rFonts w:ascii="Times New Roman" w:hAnsi="Times New Roman" w:cs="Times New Roman"/>
          <w:sz w:val="24"/>
          <w:szCs w:val="24"/>
        </w:rPr>
        <w:t>related history</w:t>
      </w:r>
      <w:r w:rsidR="00FD41FE" w:rsidRPr="00403E6A">
        <w:rPr>
          <w:rFonts w:ascii="Times New Roman" w:hAnsi="Times New Roman" w:cs="Times New Roman"/>
          <w:sz w:val="24"/>
          <w:szCs w:val="24"/>
        </w:rPr>
        <w:t xml:space="preserve"> in court. </w:t>
      </w:r>
    </w:p>
    <w:p w14:paraId="5E15DABA" w14:textId="44C96EB4" w:rsidR="00F1311B" w:rsidRPr="00403E6A" w:rsidRDefault="00D672C0" w:rsidP="00AC034A">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r>
      <w:r w:rsidR="0023328E" w:rsidRPr="00403E6A">
        <w:rPr>
          <w:rFonts w:ascii="Times New Roman" w:hAnsi="Times New Roman" w:cs="Times New Roman"/>
          <w:sz w:val="24"/>
          <w:szCs w:val="24"/>
        </w:rPr>
        <w:t>T</w:t>
      </w:r>
      <w:r w:rsidR="00B749DD" w:rsidRPr="00403E6A">
        <w:rPr>
          <w:rFonts w:ascii="Times New Roman" w:hAnsi="Times New Roman" w:cs="Times New Roman"/>
          <w:sz w:val="24"/>
          <w:szCs w:val="24"/>
        </w:rPr>
        <w:t xml:space="preserve">here are a few broadly written laws that </w:t>
      </w:r>
      <w:r w:rsidR="0023328E" w:rsidRPr="00403E6A">
        <w:rPr>
          <w:rFonts w:ascii="Times New Roman" w:hAnsi="Times New Roman" w:cs="Times New Roman"/>
          <w:sz w:val="24"/>
          <w:szCs w:val="24"/>
        </w:rPr>
        <w:t>government</w:t>
      </w:r>
      <w:r w:rsidR="008B0DCD" w:rsidRPr="00403E6A">
        <w:rPr>
          <w:rFonts w:ascii="Times New Roman" w:hAnsi="Times New Roman" w:cs="Times New Roman"/>
          <w:sz w:val="24"/>
          <w:szCs w:val="24"/>
        </w:rPr>
        <w:t xml:space="preserve"> can </w:t>
      </w:r>
      <w:r w:rsidR="0023328E" w:rsidRPr="00403E6A">
        <w:rPr>
          <w:rFonts w:ascii="Times New Roman" w:hAnsi="Times New Roman" w:cs="Times New Roman"/>
          <w:sz w:val="24"/>
          <w:szCs w:val="24"/>
        </w:rPr>
        <w:t xml:space="preserve">apply </w:t>
      </w:r>
      <w:r w:rsidR="008B0DCD" w:rsidRPr="00403E6A">
        <w:rPr>
          <w:rFonts w:ascii="Times New Roman" w:hAnsi="Times New Roman" w:cs="Times New Roman"/>
          <w:sz w:val="24"/>
          <w:szCs w:val="24"/>
        </w:rPr>
        <w:t>to introduce a</w:t>
      </w:r>
      <w:r w:rsidRPr="00403E6A">
        <w:rPr>
          <w:rFonts w:ascii="Times New Roman" w:hAnsi="Times New Roman" w:cs="Times New Roman"/>
          <w:sz w:val="24"/>
          <w:szCs w:val="24"/>
        </w:rPr>
        <w:t xml:space="preserve">ntitrust challenges to health care transactions and </w:t>
      </w:r>
      <w:r w:rsidR="008A45F4" w:rsidRPr="00403E6A">
        <w:rPr>
          <w:rFonts w:ascii="Times New Roman" w:hAnsi="Times New Roman" w:cs="Times New Roman"/>
          <w:sz w:val="24"/>
          <w:szCs w:val="24"/>
        </w:rPr>
        <w:t>activity</w:t>
      </w:r>
      <w:r w:rsidRPr="00403E6A">
        <w:rPr>
          <w:rFonts w:ascii="Times New Roman" w:hAnsi="Times New Roman" w:cs="Times New Roman"/>
          <w:sz w:val="24"/>
          <w:szCs w:val="24"/>
        </w:rPr>
        <w:t xml:space="preserve">. </w:t>
      </w:r>
      <w:r w:rsidR="008B0DCD" w:rsidRPr="00403E6A">
        <w:rPr>
          <w:rFonts w:ascii="Times New Roman" w:hAnsi="Times New Roman" w:cs="Times New Roman"/>
          <w:sz w:val="24"/>
          <w:szCs w:val="24"/>
        </w:rPr>
        <w:t>Although these laws are applicable to most industries, t</w:t>
      </w:r>
      <w:r w:rsidRPr="00403E6A">
        <w:rPr>
          <w:rFonts w:ascii="Times New Roman" w:hAnsi="Times New Roman" w:cs="Times New Roman"/>
          <w:sz w:val="24"/>
          <w:szCs w:val="24"/>
        </w:rPr>
        <w:t>hey typically address the following types of antitrust violations</w:t>
      </w:r>
      <w:r w:rsidR="009020A4" w:rsidRPr="00403E6A">
        <w:rPr>
          <w:rFonts w:ascii="Times New Roman" w:hAnsi="Times New Roman" w:cs="Times New Roman"/>
          <w:sz w:val="24"/>
          <w:szCs w:val="24"/>
        </w:rPr>
        <w:t xml:space="preserve"> related to healthcare </w:t>
      </w:r>
      <w:r w:rsidR="005973E6" w:rsidRPr="00403E6A">
        <w:rPr>
          <w:rFonts w:ascii="Times New Roman" w:hAnsi="Times New Roman" w:cs="Times New Roman"/>
          <w:sz w:val="24"/>
          <w:szCs w:val="24"/>
        </w:rPr>
        <w:t xml:space="preserve">industry </w:t>
      </w:r>
      <w:r w:rsidR="009020A4" w:rsidRPr="00403E6A">
        <w:rPr>
          <w:rFonts w:ascii="Times New Roman" w:hAnsi="Times New Roman" w:cs="Times New Roman"/>
          <w:sz w:val="24"/>
          <w:szCs w:val="24"/>
        </w:rPr>
        <w:t>transactions</w:t>
      </w:r>
      <w:r w:rsidR="00231914" w:rsidRPr="00403E6A">
        <w:rPr>
          <w:rFonts w:ascii="Times New Roman" w:hAnsi="Times New Roman" w:cs="Times New Roman"/>
          <w:sz w:val="24"/>
          <w:szCs w:val="24"/>
        </w:rPr>
        <w:t>.</w:t>
      </w:r>
      <w:r w:rsidR="00022533">
        <w:rPr>
          <w:rStyle w:val="FootnoteReference"/>
          <w:rFonts w:ascii="Times New Roman" w:hAnsi="Times New Roman" w:cs="Times New Roman"/>
          <w:sz w:val="24"/>
          <w:szCs w:val="24"/>
        </w:rPr>
        <w:footnoteReference w:id="94"/>
      </w:r>
      <w:r w:rsidR="00231914" w:rsidRPr="00403E6A">
        <w:rPr>
          <w:rFonts w:ascii="Times New Roman" w:hAnsi="Times New Roman" w:cs="Times New Roman"/>
          <w:sz w:val="24"/>
          <w:szCs w:val="24"/>
        </w:rPr>
        <w:t xml:space="preserve"> </w:t>
      </w:r>
    </w:p>
    <w:p w14:paraId="6601F812" w14:textId="7DC2AEC2" w:rsidR="00D672C0" w:rsidRPr="00403E6A" w:rsidRDefault="00F1311B" w:rsidP="00AC034A">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r>
      <w:r w:rsidR="008C02CA" w:rsidRPr="00403E6A">
        <w:rPr>
          <w:rFonts w:ascii="Times New Roman" w:hAnsi="Times New Roman" w:cs="Times New Roman"/>
          <w:sz w:val="24"/>
          <w:szCs w:val="24"/>
        </w:rPr>
        <w:t>S</w:t>
      </w:r>
      <w:r w:rsidR="005215AB" w:rsidRPr="00403E6A">
        <w:rPr>
          <w:rFonts w:ascii="Times New Roman" w:hAnsi="Times New Roman" w:cs="Times New Roman"/>
          <w:sz w:val="24"/>
          <w:szCs w:val="24"/>
        </w:rPr>
        <w:t>ection 1 of the Sherman Act prohibits agreements that “restrain trade</w:t>
      </w:r>
      <w:r w:rsidR="004C30E5" w:rsidRPr="00403E6A">
        <w:rPr>
          <w:rFonts w:ascii="Times New Roman" w:hAnsi="Times New Roman" w:cs="Times New Roman"/>
          <w:sz w:val="24"/>
          <w:szCs w:val="24"/>
        </w:rPr>
        <w:t xml:space="preserve"> or commerce.</w:t>
      </w:r>
      <w:r w:rsidR="005215AB" w:rsidRPr="00403E6A">
        <w:rPr>
          <w:rFonts w:ascii="Times New Roman" w:hAnsi="Times New Roman" w:cs="Times New Roman"/>
          <w:sz w:val="24"/>
          <w:szCs w:val="24"/>
        </w:rPr>
        <w:t>”</w:t>
      </w:r>
      <w:r w:rsidR="000156B4">
        <w:rPr>
          <w:rStyle w:val="FootnoteReference"/>
          <w:rFonts w:ascii="Times New Roman" w:hAnsi="Times New Roman" w:cs="Times New Roman"/>
          <w:sz w:val="24"/>
          <w:szCs w:val="24"/>
        </w:rPr>
        <w:footnoteReference w:id="95"/>
      </w:r>
      <w:r w:rsidR="00E3033F" w:rsidRPr="00403E6A">
        <w:rPr>
          <w:rFonts w:ascii="Times New Roman" w:hAnsi="Times New Roman" w:cs="Times New Roman"/>
          <w:sz w:val="24"/>
          <w:szCs w:val="24"/>
        </w:rPr>
        <w:t xml:space="preserve"> </w:t>
      </w:r>
      <w:r w:rsidR="005C451B" w:rsidRPr="00403E6A">
        <w:rPr>
          <w:rFonts w:ascii="Times New Roman" w:hAnsi="Times New Roman" w:cs="Times New Roman"/>
          <w:sz w:val="24"/>
          <w:szCs w:val="24"/>
        </w:rPr>
        <w:t xml:space="preserve">According to antitrust law expert Robert Leibenluft, the act of conspiring or contracting to create </w:t>
      </w:r>
      <w:r w:rsidR="00600483" w:rsidRPr="00403E6A">
        <w:rPr>
          <w:rFonts w:ascii="Times New Roman" w:hAnsi="Times New Roman" w:cs="Times New Roman"/>
          <w:sz w:val="24"/>
          <w:szCs w:val="24"/>
        </w:rPr>
        <w:t>prima facie</w:t>
      </w:r>
      <w:r w:rsidR="005C451B" w:rsidRPr="00403E6A">
        <w:rPr>
          <w:rFonts w:ascii="Times New Roman" w:hAnsi="Times New Roman" w:cs="Times New Roman"/>
          <w:sz w:val="24"/>
          <w:szCs w:val="24"/>
        </w:rPr>
        <w:t xml:space="preserve"> price-fixing mechanisms or market division is illegal.</w:t>
      </w:r>
      <w:r w:rsidR="00A9406C">
        <w:rPr>
          <w:rStyle w:val="FootnoteReference"/>
          <w:rFonts w:ascii="Times New Roman" w:hAnsi="Times New Roman" w:cs="Times New Roman"/>
          <w:sz w:val="24"/>
          <w:szCs w:val="24"/>
        </w:rPr>
        <w:footnoteReference w:id="96"/>
      </w:r>
      <w:r w:rsidR="005C451B" w:rsidRPr="00403E6A">
        <w:rPr>
          <w:rFonts w:ascii="Times New Roman" w:hAnsi="Times New Roman" w:cs="Times New Roman"/>
          <w:sz w:val="24"/>
          <w:szCs w:val="24"/>
        </w:rPr>
        <w:t xml:space="preserve"> According to Leibenluft, these acts are illegal “even without evidence that the parties to the agreement have market power or that the agreements adversely affect competition.”</w:t>
      </w:r>
      <w:r w:rsidR="00124499">
        <w:rPr>
          <w:rStyle w:val="FootnoteReference"/>
          <w:rFonts w:ascii="Times New Roman" w:hAnsi="Times New Roman" w:cs="Times New Roman"/>
          <w:sz w:val="24"/>
          <w:szCs w:val="24"/>
        </w:rPr>
        <w:footnoteReference w:id="97"/>
      </w:r>
      <w:r w:rsidR="005C451B" w:rsidRPr="00403E6A">
        <w:rPr>
          <w:rFonts w:ascii="Times New Roman" w:hAnsi="Times New Roman" w:cs="Times New Roman"/>
          <w:sz w:val="24"/>
          <w:szCs w:val="24"/>
        </w:rPr>
        <w:t xml:space="preserve"> </w:t>
      </w:r>
      <w:r w:rsidR="009D5AB1" w:rsidRPr="00403E6A">
        <w:rPr>
          <w:rFonts w:ascii="Times New Roman" w:hAnsi="Times New Roman" w:cs="Times New Roman"/>
          <w:sz w:val="24"/>
          <w:szCs w:val="24"/>
        </w:rPr>
        <w:t xml:space="preserve">Additionally, section 1 of the Sherman Act does not permit defenses that the contract provisions at issue create efficiencies that could </w:t>
      </w:r>
      <w:r w:rsidR="009D5AB1" w:rsidRPr="00403E6A">
        <w:rPr>
          <w:rFonts w:ascii="Times New Roman" w:hAnsi="Times New Roman" w:cs="Times New Roman"/>
          <w:sz w:val="24"/>
          <w:szCs w:val="24"/>
        </w:rPr>
        <w:lastRenderedPageBreak/>
        <w:t>counteract adverse competitive effects.</w:t>
      </w:r>
      <w:r w:rsidR="00BB3C38">
        <w:rPr>
          <w:rStyle w:val="FootnoteReference"/>
          <w:rFonts w:ascii="Times New Roman" w:hAnsi="Times New Roman" w:cs="Times New Roman"/>
          <w:sz w:val="24"/>
          <w:szCs w:val="24"/>
        </w:rPr>
        <w:footnoteReference w:id="98"/>
      </w:r>
      <w:r w:rsidR="009D5AB1" w:rsidRPr="00403E6A">
        <w:rPr>
          <w:rFonts w:ascii="Times New Roman" w:hAnsi="Times New Roman" w:cs="Times New Roman"/>
          <w:sz w:val="24"/>
          <w:szCs w:val="24"/>
        </w:rPr>
        <w:t xml:space="preserve"> </w:t>
      </w:r>
      <w:r w:rsidR="005C451B" w:rsidRPr="00403E6A">
        <w:rPr>
          <w:rFonts w:ascii="Times New Roman" w:hAnsi="Times New Roman" w:cs="Times New Roman"/>
          <w:sz w:val="24"/>
          <w:szCs w:val="24"/>
        </w:rPr>
        <w:t>However, a</w:t>
      </w:r>
      <w:r w:rsidR="004C30E5" w:rsidRPr="00403E6A">
        <w:rPr>
          <w:rFonts w:ascii="Times New Roman" w:hAnsi="Times New Roman" w:cs="Times New Roman"/>
          <w:sz w:val="24"/>
          <w:szCs w:val="24"/>
        </w:rPr>
        <w:t>ccording to Leibenluft</w:t>
      </w:r>
      <w:r w:rsidR="00DB2934" w:rsidRPr="00403E6A">
        <w:rPr>
          <w:rFonts w:ascii="Times New Roman" w:hAnsi="Times New Roman" w:cs="Times New Roman"/>
          <w:sz w:val="24"/>
          <w:szCs w:val="24"/>
        </w:rPr>
        <w:t xml:space="preserve">, it is much more difficult for a government agency to prevail in a rule of reason case than in one alleging per se </w:t>
      </w:r>
      <w:r w:rsidR="00574F92" w:rsidRPr="00403E6A">
        <w:rPr>
          <w:rFonts w:ascii="Times New Roman" w:hAnsi="Times New Roman" w:cs="Times New Roman"/>
          <w:sz w:val="24"/>
          <w:szCs w:val="24"/>
        </w:rPr>
        <w:t>antitrust violations</w:t>
      </w:r>
      <w:r w:rsidR="00DB2934" w:rsidRPr="00403E6A">
        <w:rPr>
          <w:rFonts w:ascii="Times New Roman" w:hAnsi="Times New Roman" w:cs="Times New Roman"/>
          <w:sz w:val="24"/>
          <w:szCs w:val="24"/>
        </w:rPr>
        <w:t>.</w:t>
      </w:r>
      <w:r w:rsidR="00850036">
        <w:rPr>
          <w:rStyle w:val="FootnoteReference"/>
          <w:rFonts w:ascii="Times New Roman" w:hAnsi="Times New Roman" w:cs="Times New Roman"/>
          <w:sz w:val="24"/>
          <w:szCs w:val="24"/>
        </w:rPr>
        <w:footnoteReference w:id="99"/>
      </w:r>
      <w:r w:rsidR="00DB2934" w:rsidRPr="00403E6A">
        <w:rPr>
          <w:rFonts w:ascii="Times New Roman" w:hAnsi="Times New Roman" w:cs="Times New Roman"/>
          <w:sz w:val="24"/>
          <w:szCs w:val="24"/>
        </w:rPr>
        <w:t xml:space="preserve"> </w:t>
      </w:r>
    </w:p>
    <w:p w14:paraId="543D394F" w14:textId="45C8A84B" w:rsidR="00514389" w:rsidRPr="00403E6A" w:rsidRDefault="0036191B" w:rsidP="00192F66">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t xml:space="preserve">Section 2 </w:t>
      </w:r>
      <w:r w:rsidR="008A7AF2" w:rsidRPr="00403E6A">
        <w:rPr>
          <w:rFonts w:ascii="Times New Roman" w:hAnsi="Times New Roman" w:cs="Times New Roman"/>
          <w:sz w:val="24"/>
          <w:szCs w:val="24"/>
        </w:rPr>
        <w:t xml:space="preserve">of the Sherman Act prohibits </w:t>
      </w:r>
      <w:r w:rsidR="008527AB" w:rsidRPr="00403E6A">
        <w:rPr>
          <w:rFonts w:ascii="Times New Roman" w:hAnsi="Times New Roman" w:cs="Times New Roman"/>
          <w:sz w:val="24"/>
          <w:szCs w:val="24"/>
        </w:rPr>
        <w:t xml:space="preserve">any person </w:t>
      </w:r>
      <w:r w:rsidR="005B000C" w:rsidRPr="00403E6A">
        <w:rPr>
          <w:rFonts w:ascii="Times New Roman" w:hAnsi="Times New Roman" w:cs="Times New Roman"/>
          <w:sz w:val="24"/>
          <w:szCs w:val="24"/>
        </w:rPr>
        <w:t xml:space="preserve">who monopolizes, attempts to, </w:t>
      </w:r>
      <w:r w:rsidR="001B7D7C" w:rsidRPr="00403E6A">
        <w:rPr>
          <w:rFonts w:ascii="Times New Roman" w:hAnsi="Times New Roman" w:cs="Times New Roman"/>
          <w:sz w:val="24"/>
          <w:szCs w:val="24"/>
        </w:rPr>
        <w:t xml:space="preserve">or conspires to monopolize </w:t>
      </w:r>
      <w:r w:rsidR="003D7913" w:rsidRPr="00403E6A">
        <w:rPr>
          <w:rFonts w:ascii="Times New Roman" w:hAnsi="Times New Roman" w:cs="Times New Roman"/>
          <w:sz w:val="24"/>
          <w:szCs w:val="24"/>
        </w:rPr>
        <w:t>“any part of trade or commerce.”</w:t>
      </w:r>
      <w:r w:rsidR="00EF5304">
        <w:rPr>
          <w:rStyle w:val="FootnoteReference"/>
          <w:rFonts w:ascii="Times New Roman" w:hAnsi="Times New Roman" w:cs="Times New Roman"/>
          <w:sz w:val="24"/>
          <w:szCs w:val="24"/>
        </w:rPr>
        <w:footnoteReference w:id="100"/>
      </w:r>
      <w:r w:rsidR="003D7913" w:rsidRPr="00403E6A">
        <w:rPr>
          <w:rFonts w:ascii="Times New Roman" w:hAnsi="Times New Roman" w:cs="Times New Roman"/>
          <w:sz w:val="24"/>
          <w:szCs w:val="24"/>
        </w:rPr>
        <w:t xml:space="preserve"> </w:t>
      </w:r>
      <w:r w:rsidR="00B614BC" w:rsidRPr="00403E6A">
        <w:rPr>
          <w:rFonts w:ascii="Times New Roman" w:hAnsi="Times New Roman" w:cs="Times New Roman"/>
          <w:sz w:val="24"/>
          <w:szCs w:val="24"/>
        </w:rPr>
        <w:t xml:space="preserve">According to Leibenluft, </w:t>
      </w:r>
      <w:r w:rsidR="00266B7A" w:rsidRPr="00403E6A">
        <w:rPr>
          <w:rFonts w:ascii="Times New Roman" w:hAnsi="Times New Roman" w:cs="Times New Roman"/>
          <w:sz w:val="24"/>
          <w:szCs w:val="24"/>
        </w:rPr>
        <w:t>to successfully apply</w:t>
      </w:r>
      <w:r w:rsidR="00F57BF9" w:rsidRPr="00403E6A">
        <w:rPr>
          <w:rFonts w:ascii="Times New Roman" w:hAnsi="Times New Roman" w:cs="Times New Roman"/>
          <w:sz w:val="24"/>
          <w:szCs w:val="24"/>
        </w:rPr>
        <w:t xml:space="preserve"> this provision</w:t>
      </w:r>
      <w:r w:rsidR="007C7EF0" w:rsidRPr="00403E6A">
        <w:rPr>
          <w:rFonts w:ascii="Times New Roman" w:hAnsi="Times New Roman" w:cs="Times New Roman"/>
          <w:sz w:val="24"/>
          <w:szCs w:val="24"/>
        </w:rPr>
        <w:t xml:space="preserve">, the </w:t>
      </w:r>
      <w:r w:rsidR="00F57BF9" w:rsidRPr="00403E6A">
        <w:rPr>
          <w:rFonts w:ascii="Times New Roman" w:hAnsi="Times New Roman" w:cs="Times New Roman"/>
          <w:sz w:val="24"/>
          <w:szCs w:val="24"/>
        </w:rPr>
        <w:t xml:space="preserve">entity </w:t>
      </w:r>
      <w:r w:rsidR="007C7EF0" w:rsidRPr="00403E6A">
        <w:rPr>
          <w:rFonts w:ascii="Times New Roman" w:hAnsi="Times New Roman" w:cs="Times New Roman"/>
          <w:sz w:val="24"/>
          <w:szCs w:val="24"/>
        </w:rPr>
        <w:t xml:space="preserve">generally must </w:t>
      </w:r>
      <w:r w:rsidR="00F57BF9" w:rsidRPr="00403E6A">
        <w:rPr>
          <w:rFonts w:ascii="Times New Roman" w:hAnsi="Times New Roman" w:cs="Times New Roman"/>
          <w:sz w:val="24"/>
          <w:szCs w:val="24"/>
        </w:rPr>
        <w:t>“</w:t>
      </w:r>
      <w:r w:rsidR="007C7EF0" w:rsidRPr="00403E6A">
        <w:rPr>
          <w:rFonts w:ascii="Times New Roman" w:hAnsi="Times New Roman" w:cs="Times New Roman"/>
          <w:sz w:val="24"/>
          <w:szCs w:val="24"/>
        </w:rPr>
        <w:t>have a share in excess of 60–70 percent in a market with significant entry barriers.</w:t>
      </w:r>
      <w:r w:rsidR="00F57BF9" w:rsidRPr="00403E6A">
        <w:rPr>
          <w:rFonts w:ascii="Times New Roman" w:hAnsi="Times New Roman" w:cs="Times New Roman"/>
          <w:sz w:val="24"/>
          <w:szCs w:val="24"/>
        </w:rPr>
        <w:t>”</w:t>
      </w:r>
      <w:r w:rsidR="00EF5304">
        <w:rPr>
          <w:rStyle w:val="FootnoteReference"/>
          <w:rFonts w:ascii="Times New Roman" w:hAnsi="Times New Roman" w:cs="Times New Roman"/>
          <w:sz w:val="24"/>
          <w:szCs w:val="24"/>
        </w:rPr>
        <w:footnoteReference w:id="101"/>
      </w:r>
      <w:r w:rsidR="007C7EF0" w:rsidRPr="00403E6A">
        <w:rPr>
          <w:rFonts w:ascii="Times New Roman" w:hAnsi="Times New Roman" w:cs="Times New Roman"/>
          <w:sz w:val="24"/>
          <w:szCs w:val="24"/>
        </w:rPr>
        <w:t xml:space="preserve"> </w:t>
      </w:r>
      <w:r w:rsidR="00C264A2" w:rsidRPr="00403E6A">
        <w:rPr>
          <w:rFonts w:ascii="Times New Roman" w:hAnsi="Times New Roman" w:cs="Times New Roman"/>
          <w:sz w:val="24"/>
          <w:szCs w:val="24"/>
        </w:rPr>
        <w:t xml:space="preserve">Another impediment to the application of this provision is the </w:t>
      </w:r>
      <w:r w:rsidR="00D3111C" w:rsidRPr="00403E6A">
        <w:rPr>
          <w:rFonts w:ascii="Times New Roman" w:hAnsi="Times New Roman" w:cs="Times New Roman"/>
          <w:sz w:val="24"/>
          <w:szCs w:val="24"/>
        </w:rPr>
        <w:t xml:space="preserve">difficulty in </w:t>
      </w:r>
      <w:r w:rsidR="007C7EF0" w:rsidRPr="00403E6A">
        <w:rPr>
          <w:rFonts w:ascii="Times New Roman" w:hAnsi="Times New Roman" w:cs="Times New Roman"/>
          <w:sz w:val="24"/>
          <w:szCs w:val="24"/>
        </w:rPr>
        <w:t>defining what constitutes exclusionary conduct</w:t>
      </w:r>
      <w:r w:rsidR="00D3111C" w:rsidRPr="00403E6A">
        <w:rPr>
          <w:rFonts w:ascii="Times New Roman" w:hAnsi="Times New Roman" w:cs="Times New Roman"/>
          <w:sz w:val="24"/>
          <w:szCs w:val="24"/>
        </w:rPr>
        <w:t>.</w:t>
      </w:r>
      <w:r w:rsidR="00384475">
        <w:rPr>
          <w:rStyle w:val="FootnoteReference"/>
          <w:rFonts w:ascii="Times New Roman" w:hAnsi="Times New Roman" w:cs="Times New Roman"/>
          <w:sz w:val="24"/>
          <w:szCs w:val="24"/>
        </w:rPr>
        <w:footnoteReference w:id="102"/>
      </w:r>
      <w:r w:rsidR="00D3111C" w:rsidRPr="00403E6A">
        <w:rPr>
          <w:rFonts w:ascii="Times New Roman" w:hAnsi="Times New Roman" w:cs="Times New Roman"/>
          <w:sz w:val="24"/>
          <w:szCs w:val="24"/>
        </w:rPr>
        <w:t xml:space="preserve"> According to Leibenluft, case</w:t>
      </w:r>
      <w:r w:rsidR="007C7EF0" w:rsidRPr="00403E6A">
        <w:rPr>
          <w:rFonts w:ascii="Times New Roman" w:hAnsi="Times New Roman" w:cs="Times New Roman"/>
          <w:sz w:val="24"/>
          <w:szCs w:val="24"/>
        </w:rPr>
        <w:t xml:space="preserve"> </w:t>
      </w:r>
      <w:r w:rsidR="0075781F" w:rsidRPr="00403E6A">
        <w:rPr>
          <w:rFonts w:ascii="Times New Roman" w:hAnsi="Times New Roman" w:cs="Times New Roman"/>
          <w:sz w:val="24"/>
          <w:szCs w:val="24"/>
        </w:rPr>
        <w:t xml:space="preserve">law pertaining to </w:t>
      </w:r>
      <w:r w:rsidR="007A0276" w:rsidRPr="00403E6A">
        <w:rPr>
          <w:rFonts w:ascii="Times New Roman" w:hAnsi="Times New Roman" w:cs="Times New Roman"/>
          <w:sz w:val="24"/>
          <w:szCs w:val="24"/>
        </w:rPr>
        <w:t>what constitutes exclusionary conduct</w:t>
      </w:r>
      <w:r w:rsidR="0075781F" w:rsidRPr="00403E6A">
        <w:rPr>
          <w:rFonts w:ascii="Times New Roman" w:hAnsi="Times New Roman" w:cs="Times New Roman"/>
          <w:sz w:val="24"/>
          <w:szCs w:val="24"/>
        </w:rPr>
        <w:t xml:space="preserve"> </w:t>
      </w:r>
      <w:r w:rsidR="007750FE" w:rsidRPr="00403E6A">
        <w:rPr>
          <w:rFonts w:ascii="Times New Roman" w:hAnsi="Times New Roman" w:cs="Times New Roman"/>
          <w:sz w:val="24"/>
          <w:szCs w:val="24"/>
        </w:rPr>
        <w:t xml:space="preserve">has been </w:t>
      </w:r>
      <w:r w:rsidR="007C7EF0" w:rsidRPr="00403E6A">
        <w:rPr>
          <w:rFonts w:ascii="Times New Roman" w:hAnsi="Times New Roman" w:cs="Times New Roman"/>
          <w:sz w:val="24"/>
          <w:szCs w:val="24"/>
        </w:rPr>
        <w:t xml:space="preserve">evolving and </w:t>
      </w:r>
      <w:r w:rsidR="007750FE" w:rsidRPr="00403E6A">
        <w:rPr>
          <w:rFonts w:ascii="Times New Roman" w:hAnsi="Times New Roman" w:cs="Times New Roman"/>
          <w:sz w:val="24"/>
          <w:szCs w:val="24"/>
        </w:rPr>
        <w:t>is vague</w:t>
      </w:r>
      <w:r w:rsidR="007C7EF0" w:rsidRPr="00403E6A">
        <w:rPr>
          <w:rFonts w:ascii="Times New Roman" w:hAnsi="Times New Roman" w:cs="Times New Roman"/>
          <w:sz w:val="24"/>
          <w:szCs w:val="24"/>
        </w:rPr>
        <w:t xml:space="preserve">, in part because </w:t>
      </w:r>
      <w:r w:rsidR="00FE551B" w:rsidRPr="00403E6A">
        <w:rPr>
          <w:rFonts w:ascii="Times New Roman" w:hAnsi="Times New Roman" w:cs="Times New Roman"/>
          <w:sz w:val="24"/>
          <w:szCs w:val="24"/>
        </w:rPr>
        <w:t>“</w:t>
      </w:r>
      <w:r w:rsidR="007C7EF0" w:rsidRPr="00403E6A">
        <w:rPr>
          <w:rFonts w:ascii="Times New Roman" w:hAnsi="Times New Roman" w:cs="Times New Roman"/>
          <w:sz w:val="24"/>
          <w:szCs w:val="24"/>
        </w:rPr>
        <w:t>the courts are concerned about prohibiting dominant firms from engaging in conduct that restricts their ability to compete or achieve efficiencies.</w:t>
      </w:r>
      <w:r w:rsidR="00FE551B" w:rsidRPr="00403E6A">
        <w:rPr>
          <w:rFonts w:ascii="Times New Roman" w:hAnsi="Times New Roman" w:cs="Times New Roman"/>
          <w:sz w:val="24"/>
          <w:szCs w:val="24"/>
        </w:rPr>
        <w:t>”</w:t>
      </w:r>
      <w:r w:rsidR="00561879">
        <w:rPr>
          <w:rStyle w:val="FootnoteReference"/>
          <w:rFonts w:ascii="Times New Roman" w:hAnsi="Times New Roman" w:cs="Times New Roman"/>
          <w:sz w:val="24"/>
          <w:szCs w:val="24"/>
        </w:rPr>
        <w:footnoteReference w:id="103"/>
      </w:r>
      <w:r w:rsidR="00FE551B" w:rsidRPr="00403E6A">
        <w:rPr>
          <w:rFonts w:ascii="Times New Roman" w:hAnsi="Times New Roman" w:cs="Times New Roman"/>
          <w:sz w:val="24"/>
          <w:szCs w:val="24"/>
        </w:rPr>
        <w:t xml:space="preserve"> </w:t>
      </w:r>
      <w:r w:rsidR="00CC531E" w:rsidRPr="00403E6A">
        <w:rPr>
          <w:rFonts w:ascii="Times New Roman" w:hAnsi="Times New Roman" w:cs="Times New Roman"/>
          <w:sz w:val="24"/>
          <w:szCs w:val="24"/>
        </w:rPr>
        <w:t>In applying this provision, c</w:t>
      </w:r>
      <w:r w:rsidR="00566FF8" w:rsidRPr="00403E6A">
        <w:rPr>
          <w:rFonts w:ascii="Times New Roman" w:hAnsi="Times New Roman" w:cs="Times New Roman"/>
          <w:sz w:val="24"/>
          <w:szCs w:val="24"/>
        </w:rPr>
        <w:t>ase law has attempted to distinguish between what const</w:t>
      </w:r>
      <w:r w:rsidR="003B1BF5" w:rsidRPr="00403E6A">
        <w:rPr>
          <w:rFonts w:ascii="Times New Roman" w:hAnsi="Times New Roman" w:cs="Times New Roman"/>
          <w:sz w:val="24"/>
          <w:szCs w:val="24"/>
        </w:rPr>
        <w:t xml:space="preserve">itutes behavior that is anti-competitor, which is </w:t>
      </w:r>
      <w:r w:rsidR="00103831" w:rsidRPr="00403E6A">
        <w:rPr>
          <w:rFonts w:ascii="Times New Roman" w:hAnsi="Times New Roman" w:cs="Times New Roman"/>
          <w:sz w:val="24"/>
          <w:szCs w:val="24"/>
        </w:rPr>
        <w:t>a fundamental</w:t>
      </w:r>
      <w:r w:rsidR="003B1BF5" w:rsidRPr="00403E6A">
        <w:rPr>
          <w:rFonts w:ascii="Times New Roman" w:hAnsi="Times New Roman" w:cs="Times New Roman"/>
          <w:sz w:val="24"/>
          <w:szCs w:val="24"/>
        </w:rPr>
        <w:t xml:space="preserve"> of Capitalism, and </w:t>
      </w:r>
      <w:r w:rsidR="00180967" w:rsidRPr="00403E6A">
        <w:rPr>
          <w:rFonts w:ascii="Times New Roman" w:hAnsi="Times New Roman" w:cs="Times New Roman"/>
          <w:sz w:val="24"/>
          <w:szCs w:val="24"/>
        </w:rPr>
        <w:t xml:space="preserve">behavior that is anti-competition, which is </w:t>
      </w:r>
      <w:r w:rsidR="00103831" w:rsidRPr="00403E6A">
        <w:rPr>
          <w:rFonts w:ascii="Times New Roman" w:hAnsi="Times New Roman" w:cs="Times New Roman"/>
          <w:sz w:val="24"/>
          <w:szCs w:val="24"/>
        </w:rPr>
        <w:t>in violation of section 2 of the Sherman Act.</w:t>
      </w:r>
      <w:r w:rsidR="00477392">
        <w:rPr>
          <w:rStyle w:val="FootnoteReference"/>
          <w:rFonts w:ascii="Times New Roman" w:hAnsi="Times New Roman" w:cs="Times New Roman"/>
          <w:sz w:val="24"/>
          <w:szCs w:val="24"/>
        </w:rPr>
        <w:footnoteReference w:id="104"/>
      </w:r>
      <w:r w:rsidR="00103831" w:rsidRPr="00403E6A">
        <w:rPr>
          <w:rFonts w:ascii="Times New Roman" w:hAnsi="Times New Roman" w:cs="Times New Roman"/>
          <w:sz w:val="24"/>
          <w:szCs w:val="24"/>
        </w:rPr>
        <w:t xml:space="preserve"> </w:t>
      </w:r>
    </w:p>
    <w:p w14:paraId="7C6E64A5" w14:textId="6195D1E6" w:rsidR="00514389" w:rsidRPr="00403E6A" w:rsidRDefault="008F0429" w:rsidP="008B6E7E">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t xml:space="preserve">Lastly, section 7 of the Clayton Act prohibits mergers or acquisitions that </w:t>
      </w:r>
      <w:r w:rsidR="00057C51" w:rsidRPr="00403E6A">
        <w:rPr>
          <w:rFonts w:ascii="Times New Roman" w:hAnsi="Times New Roman" w:cs="Times New Roman"/>
          <w:sz w:val="24"/>
          <w:szCs w:val="24"/>
        </w:rPr>
        <w:t>substantially infringe on competition.</w:t>
      </w:r>
      <w:r w:rsidR="00C67117">
        <w:rPr>
          <w:rStyle w:val="FootnoteReference"/>
          <w:rFonts w:ascii="Times New Roman" w:hAnsi="Times New Roman" w:cs="Times New Roman"/>
          <w:sz w:val="24"/>
          <w:szCs w:val="24"/>
        </w:rPr>
        <w:footnoteReference w:id="105"/>
      </w:r>
      <w:r w:rsidR="00057C51" w:rsidRPr="00403E6A">
        <w:rPr>
          <w:rFonts w:ascii="Times New Roman" w:hAnsi="Times New Roman" w:cs="Times New Roman"/>
          <w:sz w:val="24"/>
          <w:szCs w:val="24"/>
        </w:rPr>
        <w:t xml:space="preserve"> </w:t>
      </w:r>
      <w:r w:rsidR="00175B9B" w:rsidRPr="00403E6A">
        <w:rPr>
          <w:rFonts w:ascii="Times New Roman" w:hAnsi="Times New Roman" w:cs="Times New Roman"/>
          <w:sz w:val="24"/>
          <w:szCs w:val="24"/>
        </w:rPr>
        <w:t xml:space="preserve">According to Leibenluft, </w:t>
      </w:r>
      <w:r w:rsidR="0040265D" w:rsidRPr="00403E6A">
        <w:rPr>
          <w:rFonts w:ascii="Times New Roman" w:hAnsi="Times New Roman" w:cs="Times New Roman"/>
          <w:sz w:val="24"/>
          <w:szCs w:val="24"/>
        </w:rPr>
        <w:t>i</w:t>
      </w:r>
      <w:r w:rsidR="008B6E7E" w:rsidRPr="00403E6A">
        <w:rPr>
          <w:rFonts w:ascii="Times New Roman" w:hAnsi="Times New Roman" w:cs="Times New Roman"/>
          <w:sz w:val="24"/>
          <w:szCs w:val="24"/>
        </w:rPr>
        <w:t xml:space="preserve">n challenging such transactions, the plaintiff </w:t>
      </w:r>
      <w:r w:rsidR="0040265D" w:rsidRPr="00403E6A">
        <w:rPr>
          <w:rFonts w:ascii="Times New Roman" w:hAnsi="Times New Roman" w:cs="Times New Roman"/>
          <w:sz w:val="24"/>
          <w:szCs w:val="24"/>
        </w:rPr>
        <w:t>“</w:t>
      </w:r>
      <w:r w:rsidR="008B6E7E" w:rsidRPr="00403E6A">
        <w:rPr>
          <w:rFonts w:ascii="Times New Roman" w:hAnsi="Times New Roman" w:cs="Times New Roman"/>
          <w:sz w:val="24"/>
          <w:szCs w:val="24"/>
        </w:rPr>
        <w:t xml:space="preserve">must prove a case </w:t>
      </w:r>
      <w:r w:rsidR="0040265D" w:rsidRPr="00403E6A">
        <w:rPr>
          <w:rFonts w:ascii="Times New Roman" w:hAnsi="Times New Roman" w:cs="Times New Roman"/>
          <w:sz w:val="24"/>
          <w:szCs w:val="24"/>
        </w:rPr>
        <w:t xml:space="preserve">… </w:t>
      </w:r>
      <w:r w:rsidR="008B6E7E" w:rsidRPr="00403E6A">
        <w:rPr>
          <w:rFonts w:ascii="Times New Roman" w:hAnsi="Times New Roman" w:cs="Times New Roman"/>
          <w:sz w:val="24"/>
          <w:szCs w:val="24"/>
        </w:rPr>
        <w:t>that the transaction will result in adverse competitive effects in a properly defined relevant product and geographic market.</w:t>
      </w:r>
      <w:r w:rsidR="0040265D" w:rsidRPr="00403E6A">
        <w:rPr>
          <w:rFonts w:ascii="Times New Roman" w:hAnsi="Times New Roman" w:cs="Times New Roman"/>
          <w:sz w:val="24"/>
          <w:szCs w:val="24"/>
        </w:rPr>
        <w:t>”</w:t>
      </w:r>
      <w:r w:rsidR="0086337C">
        <w:rPr>
          <w:rStyle w:val="FootnoteReference"/>
          <w:rFonts w:ascii="Times New Roman" w:hAnsi="Times New Roman" w:cs="Times New Roman"/>
          <w:sz w:val="24"/>
          <w:szCs w:val="24"/>
        </w:rPr>
        <w:footnoteReference w:id="106"/>
      </w:r>
      <w:r w:rsidR="0040265D" w:rsidRPr="00403E6A">
        <w:rPr>
          <w:rFonts w:ascii="Times New Roman" w:hAnsi="Times New Roman" w:cs="Times New Roman"/>
          <w:sz w:val="24"/>
          <w:szCs w:val="24"/>
        </w:rPr>
        <w:t xml:space="preserve"> </w:t>
      </w:r>
      <w:r w:rsidR="00447424" w:rsidRPr="00403E6A">
        <w:rPr>
          <w:rFonts w:ascii="Times New Roman" w:hAnsi="Times New Roman" w:cs="Times New Roman"/>
          <w:sz w:val="24"/>
          <w:szCs w:val="24"/>
        </w:rPr>
        <w:t>Like</w:t>
      </w:r>
      <w:r w:rsidR="00FC3708" w:rsidRPr="00403E6A">
        <w:rPr>
          <w:rFonts w:ascii="Times New Roman" w:hAnsi="Times New Roman" w:cs="Times New Roman"/>
          <w:sz w:val="24"/>
          <w:szCs w:val="24"/>
        </w:rPr>
        <w:t xml:space="preserve"> </w:t>
      </w:r>
      <w:r w:rsidR="008F6F38" w:rsidRPr="00403E6A">
        <w:rPr>
          <w:rFonts w:ascii="Times New Roman" w:hAnsi="Times New Roman" w:cs="Times New Roman"/>
          <w:sz w:val="24"/>
          <w:szCs w:val="24"/>
        </w:rPr>
        <w:t xml:space="preserve">section 1 of the Sherman Act, </w:t>
      </w:r>
      <w:r w:rsidR="008F6F38" w:rsidRPr="00403E6A">
        <w:rPr>
          <w:rFonts w:ascii="Times New Roman" w:hAnsi="Times New Roman" w:cs="Times New Roman"/>
          <w:sz w:val="24"/>
          <w:szCs w:val="24"/>
        </w:rPr>
        <w:lastRenderedPageBreak/>
        <w:t xml:space="preserve">applying this provision has proven to be particularly difficult, </w:t>
      </w:r>
      <w:r w:rsidR="00DB40E1" w:rsidRPr="00403E6A">
        <w:rPr>
          <w:rFonts w:ascii="Times New Roman" w:hAnsi="Times New Roman" w:cs="Times New Roman"/>
          <w:sz w:val="24"/>
          <w:szCs w:val="24"/>
        </w:rPr>
        <w:t xml:space="preserve">since </w:t>
      </w:r>
      <w:r w:rsidR="00B417B5" w:rsidRPr="00403E6A">
        <w:rPr>
          <w:rFonts w:ascii="Times New Roman" w:hAnsi="Times New Roman" w:cs="Times New Roman"/>
          <w:sz w:val="24"/>
          <w:szCs w:val="24"/>
        </w:rPr>
        <w:t xml:space="preserve">large entities that merge or acquire are </w:t>
      </w:r>
      <w:r w:rsidR="000B229F" w:rsidRPr="00403E6A">
        <w:rPr>
          <w:rFonts w:ascii="Times New Roman" w:hAnsi="Times New Roman" w:cs="Times New Roman"/>
          <w:sz w:val="24"/>
          <w:szCs w:val="24"/>
        </w:rPr>
        <w:t xml:space="preserve">deft at </w:t>
      </w:r>
      <w:r w:rsidR="00B31DF8" w:rsidRPr="00403E6A">
        <w:rPr>
          <w:rFonts w:ascii="Times New Roman" w:hAnsi="Times New Roman" w:cs="Times New Roman"/>
          <w:sz w:val="24"/>
          <w:szCs w:val="24"/>
        </w:rPr>
        <w:t xml:space="preserve">detailing potential benefits to </w:t>
      </w:r>
      <w:r w:rsidR="00704BC4" w:rsidRPr="00403E6A">
        <w:rPr>
          <w:rFonts w:ascii="Times New Roman" w:hAnsi="Times New Roman" w:cs="Times New Roman"/>
          <w:sz w:val="24"/>
          <w:szCs w:val="24"/>
        </w:rPr>
        <w:t>the consumer base such as quality control.</w:t>
      </w:r>
      <w:r w:rsidR="005F724F">
        <w:rPr>
          <w:rStyle w:val="FootnoteReference"/>
          <w:rFonts w:ascii="Times New Roman" w:hAnsi="Times New Roman" w:cs="Times New Roman"/>
          <w:sz w:val="24"/>
          <w:szCs w:val="24"/>
        </w:rPr>
        <w:footnoteReference w:id="107"/>
      </w:r>
      <w:r w:rsidR="00704BC4" w:rsidRPr="00403E6A">
        <w:rPr>
          <w:rFonts w:ascii="Times New Roman" w:hAnsi="Times New Roman" w:cs="Times New Roman"/>
          <w:sz w:val="24"/>
          <w:szCs w:val="24"/>
        </w:rPr>
        <w:t xml:space="preserve"> </w:t>
      </w:r>
    </w:p>
    <w:p w14:paraId="06A20A2C" w14:textId="6718733F" w:rsidR="00A1232D" w:rsidRPr="00403E6A" w:rsidRDefault="00BB58FA" w:rsidP="00A1232D">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r>
      <w:r w:rsidR="009F29EC" w:rsidRPr="00403E6A">
        <w:rPr>
          <w:rFonts w:ascii="Times New Roman" w:hAnsi="Times New Roman" w:cs="Times New Roman"/>
          <w:sz w:val="24"/>
          <w:szCs w:val="24"/>
        </w:rPr>
        <w:t>Since</w:t>
      </w:r>
      <w:r w:rsidR="0043372A" w:rsidRPr="00403E6A">
        <w:rPr>
          <w:rFonts w:ascii="Times New Roman" w:hAnsi="Times New Roman" w:cs="Times New Roman"/>
          <w:sz w:val="24"/>
          <w:szCs w:val="24"/>
        </w:rPr>
        <w:t xml:space="preserve"> 1980, t</w:t>
      </w:r>
      <w:r w:rsidR="0022552E" w:rsidRPr="00403E6A">
        <w:rPr>
          <w:rFonts w:ascii="Times New Roman" w:hAnsi="Times New Roman" w:cs="Times New Roman"/>
          <w:sz w:val="24"/>
          <w:szCs w:val="24"/>
        </w:rPr>
        <w:t xml:space="preserve">he </w:t>
      </w:r>
      <w:r w:rsidR="0043372A" w:rsidRPr="00403E6A">
        <w:rPr>
          <w:rFonts w:ascii="Times New Roman" w:hAnsi="Times New Roman" w:cs="Times New Roman"/>
          <w:sz w:val="24"/>
          <w:szCs w:val="24"/>
        </w:rPr>
        <w:t xml:space="preserve">FTC and the DOJ </w:t>
      </w:r>
      <w:r w:rsidR="009875DD" w:rsidRPr="00403E6A">
        <w:rPr>
          <w:rFonts w:ascii="Times New Roman" w:hAnsi="Times New Roman" w:cs="Times New Roman"/>
          <w:sz w:val="24"/>
          <w:szCs w:val="24"/>
        </w:rPr>
        <w:t xml:space="preserve">pursued </w:t>
      </w:r>
      <w:r w:rsidR="00DB77F3" w:rsidRPr="00403E6A">
        <w:rPr>
          <w:rFonts w:ascii="Times New Roman" w:hAnsi="Times New Roman" w:cs="Times New Roman"/>
          <w:sz w:val="24"/>
          <w:szCs w:val="24"/>
        </w:rPr>
        <w:t xml:space="preserve">enforcement actions </w:t>
      </w:r>
      <w:r w:rsidR="004C1538" w:rsidRPr="00403E6A">
        <w:rPr>
          <w:rFonts w:ascii="Times New Roman" w:hAnsi="Times New Roman" w:cs="Times New Roman"/>
          <w:sz w:val="24"/>
          <w:szCs w:val="24"/>
        </w:rPr>
        <w:t xml:space="preserve">that </w:t>
      </w:r>
      <w:r w:rsidR="00DB77F3" w:rsidRPr="00403E6A">
        <w:rPr>
          <w:rFonts w:ascii="Times New Roman" w:hAnsi="Times New Roman" w:cs="Times New Roman"/>
          <w:sz w:val="24"/>
          <w:szCs w:val="24"/>
        </w:rPr>
        <w:t xml:space="preserve">involved </w:t>
      </w:r>
      <w:r w:rsidR="00CD5447" w:rsidRPr="00403E6A">
        <w:rPr>
          <w:rFonts w:ascii="Times New Roman" w:hAnsi="Times New Roman" w:cs="Times New Roman"/>
          <w:sz w:val="24"/>
          <w:szCs w:val="24"/>
        </w:rPr>
        <w:t xml:space="preserve">both </w:t>
      </w:r>
      <w:r w:rsidR="00DB77F3" w:rsidRPr="00403E6A">
        <w:rPr>
          <w:rFonts w:ascii="Times New Roman" w:hAnsi="Times New Roman" w:cs="Times New Roman"/>
          <w:sz w:val="24"/>
          <w:szCs w:val="24"/>
        </w:rPr>
        <w:t>physician</w:t>
      </w:r>
      <w:r w:rsidR="00CD5447" w:rsidRPr="00403E6A">
        <w:rPr>
          <w:rFonts w:ascii="Times New Roman" w:hAnsi="Times New Roman" w:cs="Times New Roman"/>
          <w:sz w:val="24"/>
          <w:szCs w:val="24"/>
        </w:rPr>
        <w:t>s and hospitals.</w:t>
      </w:r>
      <w:r w:rsidR="00942A81">
        <w:rPr>
          <w:rStyle w:val="FootnoteReference"/>
          <w:rFonts w:ascii="Times New Roman" w:hAnsi="Times New Roman" w:cs="Times New Roman"/>
          <w:sz w:val="24"/>
          <w:szCs w:val="24"/>
        </w:rPr>
        <w:footnoteReference w:id="108"/>
      </w:r>
      <w:r w:rsidR="00CD5447" w:rsidRPr="00403E6A">
        <w:rPr>
          <w:rFonts w:ascii="Times New Roman" w:hAnsi="Times New Roman" w:cs="Times New Roman"/>
          <w:sz w:val="24"/>
          <w:szCs w:val="24"/>
        </w:rPr>
        <w:t xml:space="preserve"> </w:t>
      </w:r>
      <w:r w:rsidR="00286F9F" w:rsidRPr="00403E6A">
        <w:rPr>
          <w:rFonts w:ascii="Times New Roman" w:hAnsi="Times New Roman" w:cs="Times New Roman"/>
          <w:sz w:val="24"/>
          <w:szCs w:val="24"/>
        </w:rPr>
        <w:t xml:space="preserve">Most of </w:t>
      </w:r>
      <w:r w:rsidR="00723031" w:rsidRPr="00403E6A">
        <w:rPr>
          <w:rFonts w:ascii="Times New Roman" w:hAnsi="Times New Roman" w:cs="Times New Roman"/>
          <w:sz w:val="24"/>
          <w:szCs w:val="24"/>
        </w:rPr>
        <w:t>t</w:t>
      </w:r>
      <w:r w:rsidR="00CD5447" w:rsidRPr="00403E6A">
        <w:rPr>
          <w:rFonts w:ascii="Times New Roman" w:hAnsi="Times New Roman" w:cs="Times New Roman"/>
          <w:sz w:val="24"/>
          <w:szCs w:val="24"/>
        </w:rPr>
        <w:t xml:space="preserve">he enforcement actions </w:t>
      </w:r>
      <w:r w:rsidR="007964FF" w:rsidRPr="00403E6A">
        <w:rPr>
          <w:rFonts w:ascii="Times New Roman" w:hAnsi="Times New Roman" w:cs="Times New Roman"/>
          <w:sz w:val="24"/>
          <w:szCs w:val="24"/>
        </w:rPr>
        <w:t>pertaining to physician</w:t>
      </w:r>
      <w:r w:rsidR="00825FEE" w:rsidRPr="00403E6A">
        <w:rPr>
          <w:rFonts w:ascii="Times New Roman" w:hAnsi="Times New Roman" w:cs="Times New Roman"/>
          <w:sz w:val="24"/>
          <w:szCs w:val="24"/>
        </w:rPr>
        <w:t xml:space="preserve">s </w:t>
      </w:r>
      <w:r w:rsidR="00CD5447" w:rsidRPr="00403E6A">
        <w:rPr>
          <w:rFonts w:ascii="Times New Roman" w:hAnsi="Times New Roman" w:cs="Times New Roman"/>
          <w:sz w:val="24"/>
          <w:szCs w:val="24"/>
        </w:rPr>
        <w:t xml:space="preserve">involved </w:t>
      </w:r>
      <w:r w:rsidR="00E414D5" w:rsidRPr="00403E6A">
        <w:rPr>
          <w:rFonts w:ascii="Times New Roman" w:hAnsi="Times New Roman" w:cs="Times New Roman"/>
          <w:sz w:val="24"/>
          <w:szCs w:val="24"/>
        </w:rPr>
        <w:t xml:space="preserve">those </w:t>
      </w:r>
      <w:r w:rsidR="00CD5447" w:rsidRPr="00403E6A">
        <w:rPr>
          <w:rFonts w:ascii="Times New Roman" w:hAnsi="Times New Roman" w:cs="Times New Roman"/>
          <w:sz w:val="24"/>
          <w:szCs w:val="24"/>
        </w:rPr>
        <w:t xml:space="preserve">in </w:t>
      </w:r>
      <w:r w:rsidR="00E414D5" w:rsidRPr="00403E6A">
        <w:rPr>
          <w:rFonts w:ascii="Times New Roman" w:hAnsi="Times New Roman" w:cs="Times New Roman"/>
          <w:sz w:val="24"/>
          <w:szCs w:val="24"/>
        </w:rPr>
        <w:t xml:space="preserve">an </w:t>
      </w:r>
      <w:r w:rsidR="00CD5447" w:rsidRPr="00403E6A">
        <w:rPr>
          <w:rFonts w:ascii="Times New Roman" w:hAnsi="Times New Roman" w:cs="Times New Roman"/>
          <w:sz w:val="24"/>
          <w:szCs w:val="24"/>
        </w:rPr>
        <w:t>independent practice</w:t>
      </w:r>
      <w:r w:rsidR="007964FF" w:rsidRPr="00403E6A">
        <w:rPr>
          <w:rFonts w:ascii="Times New Roman" w:hAnsi="Times New Roman" w:cs="Times New Roman"/>
          <w:sz w:val="24"/>
          <w:szCs w:val="24"/>
        </w:rPr>
        <w:t xml:space="preserve"> </w:t>
      </w:r>
      <w:r w:rsidR="00CD5447" w:rsidRPr="00403E6A">
        <w:rPr>
          <w:rFonts w:ascii="Times New Roman" w:hAnsi="Times New Roman" w:cs="Times New Roman"/>
          <w:sz w:val="24"/>
          <w:szCs w:val="24"/>
        </w:rPr>
        <w:t xml:space="preserve">who </w:t>
      </w:r>
      <w:r w:rsidR="00A90A16" w:rsidRPr="00403E6A">
        <w:rPr>
          <w:rFonts w:ascii="Times New Roman" w:hAnsi="Times New Roman" w:cs="Times New Roman"/>
          <w:sz w:val="24"/>
          <w:szCs w:val="24"/>
        </w:rPr>
        <w:t>had n</w:t>
      </w:r>
      <w:r w:rsidR="00CD5447" w:rsidRPr="00403E6A">
        <w:rPr>
          <w:rFonts w:ascii="Times New Roman" w:hAnsi="Times New Roman" w:cs="Times New Roman"/>
          <w:sz w:val="24"/>
          <w:szCs w:val="24"/>
        </w:rPr>
        <w:t xml:space="preserve">ot financially integrated with one another </w:t>
      </w:r>
      <w:r w:rsidR="00065A2D" w:rsidRPr="00403E6A">
        <w:rPr>
          <w:rFonts w:ascii="Times New Roman" w:hAnsi="Times New Roman" w:cs="Times New Roman"/>
          <w:sz w:val="24"/>
          <w:szCs w:val="24"/>
        </w:rPr>
        <w:t>but</w:t>
      </w:r>
      <w:r w:rsidR="00CD5447" w:rsidRPr="00403E6A">
        <w:rPr>
          <w:rFonts w:ascii="Times New Roman" w:hAnsi="Times New Roman" w:cs="Times New Roman"/>
          <w:sz w:val="24"/>
          <w:szCs w:val="24"/>
        </w:rPr>
        <w:t xml:space="preserve"> who </w:t>
      </w:r>
      <w:r w:rsidR="002643D5" w:rsidRPr="00403E6A">
        <w:rPr>
          <w:rFonts w:ascii="Times New Roman" w:hAnsi="Times New Roman" w:cs="Times New Roman"/>
          <w:sz w:val="24"/>
          <w:szCs w:val="24"/>
        </w:rPr>
        <w:t xml:space="preserve">had </w:t>
      </w:r>
      <w:r w:rsidR="003E76CF" w:rsidRPr="00403E6A">
        <w:rPr>
          <w:rFonts w:ascii="Times New Roman" w:hAnsi="Times New Roman" w:cs="Times New Roman"/>
          <w:sz w:val="24"/>
          <w:szCs w:val="24"/>
        </w:rPr>
        <w:t xml:space="preserve">been accused </w:t>
      </w:r>
      <w:r w:rsidR="00CF260F" w:rsidRPr="00403E6A">
        <w:rPr>
          <w:rFonts w:ascii="Times New Roman" w:hAnsi="Times New Roman" w:cs="Times New Roman"/>
          <w:sz w:val="24"/>
          <w:szCs w:val="24"/>
        </w:rPr>
        <w:t xml:space="preserve">of </w:t>
      </w:r>
      <w:r w:rsidR="00CD5447" w:rsidRPr="00403E6A">
        <w:rPr>
          <w:rFonts w:ascii="Times New Roman" w:hAnsi="Times New Roman" w:cs="Times New Roman"/>
          <w:sz w:val="24"/>
          <w:szCs w:val="24"/>
        </w:rPr>
        <w:t xml:space="preserve">per se </w:t>
      </w:r>
      <w:r w:rsidR="002643D5" w:rsidRPr="00403E6A">
        <w:rPr>
          <w:rFonts w:ascii="Times New Roman" w:hAnsi="Times New Roman" w:cs="Times New Roman"/>
          <w:sz w:val="24"/>
          <w:szCs w:val="24"/>
        </w:rPr>
        <w:t xml:space="preserve">exclusionary </w:t>
      </w:r>
      <w:r w:rsidR="00CD5447" w:rsidRPr="00403E6A">
        <w:rPr>
          <w:rFonts w:ascii="Times New Roman" w:hAnsi="Times New Roman" w:cs="Times New Roman"/>
          <w:sz w:val="24"/>
          <w:szCs w:val="24"/>
        </w:rPr>
        <w:t>conduct</w:t>
      </w:r>
      <w:r w:rsidR="00CF260F" w:rsidRPr="00403E6A">
        <w:rPr>
          <w:rFonts w:ascii="Times New Roman" w:hAnsi="Times New Roman" w:cs="Times New Roman"/>
          <w:sz w:val="24"/>
          <w:szCs w:val="24"/>
        </w:rPr>
        <w:t xml:space="preserve"> under section 1 of the Sherman Act</w:t>
      </w:r>
      <w:r w:rsidR="005C60B9" w:rsidRPr="00403E6A">
        <w:rPr>
          <w:rFonts w:ascii="Times New Roman" w:hAnsi="Times New Roman" w:cs="Times New Roman"/>
          <w:sz w:val="24"/>
          <w:szCs w:val="24"/>
        </w:rPr>
        <w:t xml:space="preserve">. </w:t>
      </w:r>
      <w:r w:rsidR="000D73FE">
        <w:rPr>
          <w:rStyle w:val="FootnoteReference"/>
          <w:rFonts w:ascii="Times New Roman" w:hAnsi="Times New Roman" w:cs="Times New Roman"/>
          <w:sz w:val="24"/>
          <w:szCs w:val="24"/>
        </w:rPr>
        <w:footnoteReference w:id="109"/>
      </w:r>
      <w:r w:rsidR="000D73FE">
        <w:rPr>
          <w:rFonts w:ascii="Times New Roman" w:hAnsi="Times New Roman" w:cs="Times New Roman"/>
          <w:sz w:val="24"/>
          <w:szCs w:val="24"/>
        </w:rPr>
        <w:t xml:space="preserve"> </w:t>
      </w:r>
      <w:r w:rsidR="00350ABC" w:rsidRPr="00403E6A">
        <w:rPr>
          <w:rFonts w:ascii="Times New Roman" w:hAnsi="Times New Roman" w:cs="Times New Roman"/>
          <w:sz w:val="24"/>
          <w:szCs w:val="24"/>
        </w:rPr>
        <w:t xml:space="preserve">These actions </w:t>
      </w:r>
      <w:r w:rsidR="00384C6C" w:rsidRPr="00403E6A">
        <w:rPr>
          <w:rFonts w:ascii="Times New Roman" w:hAnsi="Times New Roman" w:cs="Times New Roman"/>
          <w:sz w:val="24"/>
          <w:szCs w:val="24"/>
        </w:rPr>
        <w:t xml:space="preserve">bore out of the </w:t>
      </w:r>
      <w:r w:rsidR="005C60B9" w:rsidRPr="00403E6A">
        <w:rPr>
          <w:rFonts w:ascii="Times New Roman" w:hAnsi="Times New Roman" w:cs="Times New Roman"/>
          <w:sz w:val="24"/>
          <w:szCs w:val="24"/>
        </w:rPr>
        <w:t>198</w:t>
      </w:r>
      <w:r w:rsidR="0020249C" w:rsidRPr="00403E6A">
        <w:rPr>
          <w:rFonts w:ascii="Times New Roman" w:hAnsi="Times New Roman" w:cs="Times New Roman"/>
          <w:sz w:val="24"/>
          <w:szCs w:val="24"/>
        </w:rPr>
        <w:t xml:space="preserve">2 </w:t>
      </w:r>
      <w:r w:rsidR="005C60B9" w:rsidRPr="00403E6A">
        <w:rPr>
          <w:rFonts w:ascii="Times New Roman" w:hAnsi="Times New Roman" w:cs="Times New Roman"/>
          <w:sz w:val="24"/>
          <w:szCs w:val="24"/>
        </w:rPr>
        <w:t>Supreme Court decision in</w:t>
      </w:r>
      <w:r w:rsidR="005C60B9" w:rsidRPr="00403E6A">
        <w:rPr>
          <w:rFonts w:ascii="Times New Roman" w:hAnsi="Times New Roman" w:cs="Times New Roman"/>
          <w:i/>
          <w:iCs/>
          <w:sz w:val="24"/>
          <w:szCs w:val="24"/>
        </w:rPr>
        <w:t xml:space="preserve"> Arizona v. Maricopa County Medical Society</w:t>
      </w:r>
      <w:r w:rsidR="00F16390" w:rsidRPr="00403E6A">
        <w:rPr>
          <w:rFonts w:ascii="Times New Roman" w:hAnsi="Times New Roman" w:cs="Times New Roman"/>
          <w:i/>
          <w:iCs/>
          <w:sz w:val="24"/>
          <w:szCs w:val="24"/>
        </w:rPr>
        <w:t xml:space="preserve"> (MCMS).</w:t>
      </w:r>
      <w:r w:rsidR="0051274B" w:rsidRPr="00403E6A">
        <w:rPr>
          <w:rFonts w:ascii="Times New Roman" w:hAnsi="Times New Roman" w:cs="Times New Roman"/>
          <w:sz w:val="24"/>
          <w:szCs w:val="24"/>
        </w:rPr>
        <w:t xml:space="preserve"> </w:t>
      </w:r>
      <w:r w:rsidR="00F16390" w:rsidRPr="00403E6A">
        <w:rPr>
          <w:rFonts w:ascii="Times New Roman" w:hAnsi="Times New Roman" w:cs="Times New Roman"/>
          <w:sz w:val="24"/>
          <w:szCs w:val="24"/>
        </w:rPr>
        <w:t xml:space="preserve">In </w:t>
      </w:r>
      <w:r w:rsidR="00F16390" w:rsidRPr="00403E6A">
        <w:rPr>
          <w:rFonts w:ascii="Times New Roman" w:hAnsi="Times New Roman" w:cs="Times New Roman"/>
          <w:i/>
          <w:iCs/>
          <w:sz w:val="24"/>
          <w:szCs w:val="24"/>
        </w:rPr>
        <w:t>MCMS</w:t>
      </w:r>
      <w:r w:rsidR="00F16390" w:rsidRPr="00403E6A">
        <w:rPr>
          <w:rFonts w:ascii="Times New Roman" w:hAnsi="Times New Roman" w:cs="Times New Roman"/>
          <w:sz w:val="24"/>
          <w:szCs w:val="24"/>
        </w:rPr>
        <w:t xml:space="preserve">, </w:t>
      </w:r>
      <w:r w:rsidR="00205AFE" w:rsidRPr="00403E6A">
        <w:rPr>
          <w:rFonts w:ascii="Times New Roman" w:hAnsi="Times New Roman" w:cs="Times New Roman"/>
          <w:sz w:val="24"/>
          <w:szCs w:val="24"/>
        </w:rPr>
        <w:t xml:space="preserve">the </w:t>
      </w:r>
      <w:r w:rsidR="00EC1DFF" w:rsidRPr="00403E6A">
        <w:rPr>
          <w:rFonts w:ascii="Times New Roman" w:hAnsi="Times New Roman" w:cs="Times New Roman"/>
          <w:sz w:val="24"/>
          <w:szCs w:val="24"/>
        </w:rPr>
        <w:t>defendant</w:t>
      </w:r>
      <w:r w:rsidR="0029414F" w:rsidRPr="00403E6A">
        <w:rPr>
          <w:rFonts w:ascii="Times New Roman" w:hAnsi="Times New Roman" w:cs="Times New Roman"/>
          <w:sz w:val="24"/>
          <w:szCs w:val="24"/>
        </w:rPr>
        <w:t xml:space="preserve">, a </w:t>
      </w:r>
      <w:r w:rsidR="00F160DF" w:rsidRPr="00403E6A">
        <w:rPr>
          <w:rFonts w:ascii="Times New Roman" w:hAnsi="Times New Roman" w:cs="Times New Roman"/>
          <w:sz w:val="24"/>
          <w:szCs w:val="24"/>
        </w:rPr>
        <w:t>physician union,</w:t>
      </w:r>
      <w:r w:rsidR="00850FF7" w:rsidRPr="00403E6A">
        <w:rPr>
          <w:rFonts w:ascii="Times New Roman" w:hAnsi="Times New Roman" w:cs="Times New Roman"/>
          <w:sz w:val="24"/>
          <w:szCs w:val="24"/>
        </w:rPr>
        <w:t xml:space="preserve"> had</w:t>
      </w:r>
      <w:r w:rsidR="00EC1DFF" w:rsidRPr="00403E6A">
        <w:rPr>
          <w:rFonts w:ascii="Times New Roman" w:hAnsi="Times New Roman" w:cs="Times New Roman"/>
          <w:sz w:val="24"/>
          <w:szCs w:val="24"/>
        </w:rPr>
        <w:t xml:space="preserve"> established a set of maximum fees that member-doctors could accept as payment for medical services that were provided to</w:t>
      </w:r>
      <w:r w:rsidR="00393A1B" w:rsidRPr="00403E6A">
        <w:rPr>
          <w:rFonts w:ascii="Times New Roman" w:hAnsi="Times New Roman" w:cs="Times New Roman"/>
          <w:sz w:val="24"/>
          <w:szCs w:val="24"/>
        </w:rPr>
        <w:t xml:space="preserve"> </w:t>
      </w:r>
      <w:r w:rsidR="00E73BFD" w:rsidRPr="00403E6A">
        <w:rPr>
          <w:rFonts w:ascii="Times New Roman" w:hAnsi="Times New Roman" w:cs="Times New Roman"/>
          <w:sz w:val="24"/>
          <w:szCs w:val="24"/>
        </w:rPr>
        <w:t>patients.</w:t>
      </w:r>
      <w:r w:rsidR="00765D5F">
        <w:rPr>
          <w:rStyle w:val="FootnoteReference"/>
          <w:rFonts w:ascii="Times New Roman" w:hAnsi="Times New Roman" w:cs="Times New Roman"/>
          <w:sz w:val="24"/>
          <w:szCs w:val="24"/>
        </w:rPr>
        <w:footnoteReference w:id="110"/>
      </w:r>
      <w:r w:rsidR="004E6DCF" w:rsidRPr="00403E6A">
        <w:rPr>
          <w:rFonts w:ascii="Times New Roman" w:hAnsi="Times New Roman" w:cs="Times New Roman"/>
          <w:sz w:val="24"/>
          <w:szCs w:val="24"/>
        </w:rPr>
        <w:t xml:space="preserve"> The</w:t>
      </w:r>
      <w:r w:rsidR="00E73BFD" w:rsidRPr="00403E6A">
        <w:rPr>
          <w:rFonts w:ascii="Times New Roman" w:hAnsi="Times New Roman" w:cs="Times New Roman"/>
          <w:sz w:val="24"/>
          <w:szCs w:val="24"/>
        </w:rPr>
        <w:t xml:space="preserve"> defendant had to approve the </w:t>
      </w:r>
      <w:r w:rsidR="00D8226D" w:rsidRPr="00403E6A">
        <w:rPr>
          <w:rFonts w:ascii="Times New Roman" w:hAnsi="Times New Roman" w:cs="Times New Roman"/>
          <w:sz w:val="24"/>
          <w:szCs w:val="24"/>
        </w:rPr>
        <w:t xml:space="preserve">insurance plans that </w:t>
      </w:r>
      <w:r w:rsidR="00EC1DFF" w:rsidRPr="00403E6A">
        <w:rPr>
          <w:rFonts w:ascii="Times New Roman" w:hAnsi="Times New Roman" w:cs="Times New Roman"/>
          <w:sz w:val="24"/>
          <w:szCs w:val="24"/>
        </w:rPr>
        <w:t>patients</w:t>
      </w:r>
      <w:r w:rsidR="0028605A" w:rsidRPr="00403E6A">
        <w:rPr>
          <w:rFonts w:ascii="Times New Roman" w:hAnsi="Times New Roman" w:cs="Times New Roman"/>
          <w:sz w:val="24"/>
          <w:szCs w:val="24"/>
        </w:rPr>
        <w:t xml:space="preserve"> were relying on to </w:t>
      </w:r>
      <w:r w:rsidR="00DD5C6A" w:rsidRPr="00403E6A">
        <w:rPr>
          <w:rFonts w:ascii="Times New Roman" w:hAnsi="Times New Roman" w:cs="Times New Roman"/>
          <w:sz w:val="24"/>
          <w:szCs w:val="24"/>
        </w:rPr>
        <w:t xml:space="preserve">pay </w:t>
      </w:r>
      <w:r w:rsidR="0028605A" w:rsidRPr="00403E6A">
        <w:rPr>
          <w:rFonts w:ascii="Times New Roman" w:hAnsi="Times New Roman" w:cs="Times New Roman"/>
          <w:sz w:val="24"/>
          <w:szCs w:val="24"/>
        </w:rPr>
        <w:t xml:space="preserve">these </w:t>
      </w:r>
      <w:r w:rsidR="00DD5C6A" w:rsidRPr="00403E6A">
        <w:rPr>
          <w:rFonts w:ascii="Times New Roman" w:hAnsi="Times New Roman" w:cs="Times New Roman"/>
          <w:sz w:val="24"/>
          <w:szCs w:val="24"/>
        </w:rPr>
        <w:t>fees</w:t>
      </w:r>
      <w:r w:rsidR="00D8226D" w:rsidRPr="00403E6A">
        <w:rPr>
          <w:rFonts w:ascii="Times New Roman" w:hAnsi="Times New Roman" w:cs="Times New Roman"/>
          <w:sz w:val="24"/>
          <w:szCs w:val="24"/>
        </w:rPr>
        <w:t>.</w:t>
      </w:r>
      <w:r w:rsidR="00BE79B3">
        <w:rPr>
          <w:rStyle w:val="FootnoteReference"/>
          <w:rFonts w:ascii="Times New Roman" w:hAnsi="Times New Roman" w:cs="Times New Roman"/>
          <w:sz w:val="24"/>
          <w:szCs w:val="24"/>
        </w:rPr>
        <w:footnoteReference w:id="111"/>
      </w:r>
      <w:r w:rsidR="00EC1DFF" w:rsidRPr="00403E6A">
        <w:rPr>
          <w:rFonts w:ascii="Times New Roman" w:hAnsi="Times New Roman" w:cs="Times New Roman"/>
          <w:sz w:val="24"/>
          <w:szCs w:val="24"/>
        </w:rPr>
        <w:t xml:space="preserve"> </w:t>
      </w:r>
      <w:r w:rsidR="00A03B01" w:rsidRPr="00403E6A">
        <w:rPr>
          <w:rFonts w:ascii="Times New Roman" w:hAnsi="Times New Roman" w:cs="Times New Roman"/>
          <w:sz w:val="24"/>
          <w:szCs w:val="24"/>
        </w:rPr>
        <w:t xml:space="preserve">The </w:t>
      </w:r>
      <w:r w:rsidR="00205AFE" w:rsidRPr="00403E6A">
        <w:rPr>
          <w:rFonts w:ascii="Times New Roman" w:hAnsi="Times New Roman" w:cs="Times New Roman"/>
          <w:sz w:val="24"/>
          <w:szCs w:val="24"/>
        </w:rPr>
        <w:t xml:space="preserve">Court held </w:t>
      </w:r>
      <w:r w:rsidR="00A03B01" w:rsidRPr="00403E6A">
        <w:rPr>
          <w:rFonts w:ascii="Times New Roman" w:hAnsi="Times New Roman" w:cs="Times New Roman"/>
          <w:sz w:val="24"/>
          <w:szCs w:val="24"/>
        </w:rPr>
        <w:t xml:space="preserve">that </w:t>
      </w:r>
      <w:r w:rsidR="00C82727" w:rsidRPr="00403E6A">
        <w:rPr>
          <w:rFonts w:ascii="Times New Roman" w:hAnsi="Times New Roman" w:cs="Times New Roman"/>
          <w:sz w:val="24"/>
          <w:szCs w:val="24"/>
        </w:rPr>
        <w:t>a</w:t>
      </w:r>
      <w:r w:rsidR="00A03B01" w:rsidRPr="00403E6A">
        <w:rPr>
          <w:rFonts w:ascii="Times New Roman" w:hAnsi="Times New Roman" w:cs="Times New Roman"/>
          <w:sz w:val="24"/>
          <w:szCs w:val="24"/>
        </w:rPr>
        <w:t xml:space="preserve"> </w:t>
      </w:r>
      <w:r w:rsidR="00D2661F" w:rsidRPr="00403E6A">
        <w:rPr>
          <w:rFonts w:ascii="Times New Roman" w:hAnsi="Times New Roman" w:cs="Times New Roman"/>
          <w:sz w:val="24"/>
          <w:szCs w:val="24"/>
        </w:rPr>
        <w:t xml:space="preserve">horizontal </w:t>
      </w:r>
      <w:r w:rsidR="00A03B01" w:rsidRPr="00403E6A">
        <w:rPr>
          <w:rFonts w:ascii="Times New Roman" w:hAnsi="Times New Roman" w:cs="Times New Roman"/>
          <w:sz w:val="24"/>
          <w:szCs w:val="24"/>
        </w:rPr>
        <w:t>agreement between competitors</w:t>
      </w:r>
      <w:r w:rsidR="00C82727" w:rsidRPr="00403E6A">
        <w:rPr>
          <w:rFonts w:ascii="Times New Roman" w:hAnsi="Times New Roman" w:cs="Times New Roman"/>
          <w:sz w:val="24"/>
          <w:szCs w:val="24"/>
        </w:rPr>
        <w:t xml:space="preserve"> which sets out </w:t>
      </w:r>
      <w:r w:rsidR="00A03B01" w:rsidRPr="00403E6A">
        <w:rPr>
          <w:rFonts w:ascii="Times New Roman" w:hAnsi="Times New Roman" w:cs="Times New Roman"/>
          <w:sz w:val="24"/>
          <w:szCs w:val="24"/>
        </w:rPr>
        <w:t xml:space="preserve">a maximum price for goods or services undoubtedly </w:t>
      </w:r>
      <w:r w:rsidR="00F160DF" w:rsidRPr="00403E6A">
        <w:rPr>
          <w:rFonts w:ascii="Times New Roman" w:hAnsi="Times New Roman" w:cs="Times New Roman"/>
          <w:sz w:val="24"/>
          <w:szCs w:val="24"/>
        </w:rPr>
        <w:t xml:space="preserve">would </w:t>
      </w:r>
      <w:r w:rsidR="00A03B01" w:rsidRPr="00403E6A">
        <w:rPr>
          <w:rFonts w:ascii="Times New Roman" w:hAnsi="Times New Roman" w:cs="Times New Roman"/>
          <w:sz w:val="24"/>
          <w:szCs w:val="24"/>
        </w:rPr>
        <w:t>influence competitive pricing in the market.</w:t>
      </w:r>
      <w:r w:rsidR="000D59BC">
        <w:rPr>
          <w:rStyle w:val="FootnoteReference"/>
          <w:rFonts w:ascii="Times New Roman" w:hAnsi="Times New Roman" w:cs="Times New Roman"/>
          <w:sz w:val="24"/>
          <w:szCs w:val="24"/>
        </w:rPr>
        <w:footnoteReference w:id="112"/>
      </w:r>
      <w:r w:rsidR="00A03B01" w:rsidRPr="00403E6A">
        <w:rPr>
          <w:rFonts w:ascii="Times New Roman" w:hAnsi="Times New Roman" w:cs="Times New Roman"/>
          <w:sz w:val="24"/>
          <w:szCs w:val="24"/>
        </w:rPr>
        <w:t xml:space="preserve"> </w:t>
      </w:r>
      <w:r w:rsidR="004B47FF" w:rsidRPr="00403E6A">
        <w:rPr>
          <w:rFonts w:ascii="Times New Roman" w:hAnsi="Times New Roman" w:cs="Times New Roman"/>
          <w:sz w:val="24"/>
          <w:szCs w:val="24"/>
        </w:rPr>
        <w:t xml:space="preserve">The Court rejected </w:t>
      </w:r>
      <w:r w:rsidR="00E92BDC" w:rsidRPr="00403E6A">
        <w:rPr>
          <w:rFonts w:ascii="Times New Roman" w:hAnsi="Times New Roman" w:cs="Times New Roman"/>
          <w:sz w:val="24"/>
          <w:szCs w:val="24"/>
        </w:rPr>
        <w:t>the defendant’s pro-competition argument, because the per se rule applie</w:t>
      </w:r>
      <w:r w:rsidR="00534464" w:rsidRPr="00403E6A">
        <w:rPr>
          <w:rFonts w:ascii="Times New Roman" w:hAnsi="Times New Roman" w:cs="Times New Roman"/>
          <w:sz w:val="24"/>
          <w:szCs w:val="24"/>
        </w:rPr>
        <w:t>d</w:t>
      </w:r>
      <w:r w:rsidR="00E92BDC" w:rsidRPr="00403E6A">
        <w:rPr>
          <w:rFonts w:ascii="Times New Roman" w:hAnsi="Times New Roman" w:cs="Times New Roman"/>
          <w:sz w:val="24"/>
          <w:szCs w:val="24"/>
        </w:rPr>
        <w:t xml:space="preserve"> to any agreement calling for price fixing, regardless of any pro-competitive benefits that </w:t>
      </w:r>
      <w:r w:rsidR="00534464" w:rsidRPr="00403E6A">
        <w:rPr>
          <w:rFonts w:ascii="Times New Roman" w:hAnsi="Times New Roman" w:cs="Times New Roman"/>
          <w:sz w:val="24"/>
          <w:szCs w:val="24"/>
        </w:rPr>
        <w:t>could</w:t>
      </w:r>
      <w:r w:rsidR="00E92BDC" w:rsidRPr="00403E6A">
        <w:rPr>
          <w:rFonts w:ascii="Times New Roman" w:hAnsi="Times New Roman" w:cs="Times New Roman"/>
          <w:sz w:val="24"/>
          <w:szCs w:val="24"/>
        </w:rPr>
        <w:t xml:space="preserve"> result.</w:t>
      </w:r>
      <w:r w:rsidR="00A72800">
        <w:rPr>
          <w:rStyle w:val="FootnoteReference"/>
          <w:rFonts w:ascii="Times New Roman" w:hAnsi="Times New Roman" w:cs="Times New Roman"/>
          <w:sz w:val="24"/>
          <w:szCs w:val="24"/>
        </w:rPr>
        <w:footnoteReference w:id="113"/>
      </w:r>
      <w:r w:rsidR="00E92BDC" w:rsidRPr="00403E6A">
        <w:rPr>
          <w:rFonts w:ascii="Times New Roman" w:hAnsi="Times New Roman" w:cs="Times New Roman"/>
          <w:sz w:val="24"/>
          <w:szCs w:val="24"/>
        </w:rPr>
        <w:t xml:space="preserve"> </w:t>
      </w:r>
      <w:r w:rsidR="00527668" w:rsidRPr="00403E6A">
        <w:rPr>
          <w:rFonts w:ascii="Times New Roman" w:hAnsi="Times New Roman" w:cs="Times New Roman"/>
          <w:sz w:val="24"/>
          <w:szCs w:val="24"/>
        </w:rPr>
        <w:t xml:space="preserve">This </w:t>
      </w:r>
      <w:r w:rsidR="00A13B06" w:rsidRPr="00403E6A">
        <w:rPr>
          <w:rFonts w:ascii="Times New Roman" w:hAnsi="Times New Roman" w:cs="Times New Roman"/>
          <w:sz w:val="24"/>
          <w:szCs w:val="24"/>
        </w:rPr>
        <w:t>holding</w:t>
      </w:r>
      <w:r w:rsidR="00527668" w:rsidRPr="00403E6A">
        <w:rPr>
          <w:rFonts w:ascii="Times New Roman" w:hAnsi="Times New Roman" w:cs="Times New Roman"/>
          <w:sz w:val="24"/>
          <w:szCs w:val="24"/>
        </w:rPr>
        <w:t xml:space="preserve"> </w:t>
      </w:r>
      <w:r w:rsidR="005C2BD8" w:rsidRPr="00403E6A">
        <w:rPr>
          <w:rFonts w:ascii="Times New Roman" w:hAnsi="Times New Roman" w:cs="Times New Roman"/>
          <w:sz w:val="24"/>
          <w:szCs w:val="24"/>
        </w:rPr>
        <w:t xml:space="preserve">prohibited physicians from jointly negotiating with health plans unless the physicians </w:t>
      </w:r>
      <w:r w:rsidR="0039020D" w:rsidRPr="00403E6A">
        <w:rPr>
          <w:rFonts w:ascii="Times New Roman" w:hAnsi="Times New Roman" w:cs="Times New Roman"/>
          <w:sz w:val="24"/>
          <w:szCs w:val="24"/>
        </w:rPr>
        <w:t xml:space="preserve">had a </w:t>
      </w:r>
      <w:r w:rsidR="00A13B06" w:rsidRPr="00403E6A">
        <w:rPr>
          <w:rFonts w:ascii="Times New Roman" w:hAnsi="Times New Roman" w:cs="Times New Roman"/>
          <w:sz w:val="24"/>
          <w:szCs w:val="24"/>
        </w:rPr>
        <w:t>shared financial risk</w:t>
      </w:r>
      <w:r w:rsidR="0039020D" w:rsidRPr="00403E6A">
        <w:rPr>
          <w:rFonts w:ascii="Times New Roman" w:hAnsi="Times New Roman" w:cs="Times New Roman"/>
          <w:sz w:val="24"/>
          <w:szCs w:val="24"/>
        </w:rPr>
        <w:t xml:space="preserve"> agreement with </w:t>
      </w:r>
      <w:r w:rsidR="00D03A59" w:rsidRPr="00403E6A">
        <w:rPr>
          <w:rFonts w:ascii="Times New Roman" w:hAnsi="Times New Roman" w:cs="Times New Roman"/>
          <w:sz w:val="24"/>
          <w:szCs w:val="24"/>
        </w:rPr>
        <w:t xml:space="preserve">the </w:t>
      </w:r>
      <w:r w:rsidR="0039020D" w:rsidRPr="00403E6A">
        <w:rPr>
          <w:rFonts w:ascii="Times New Roman" w:hAnsi="Times New Roman" w:cs="Times New Roman"/>
          <w:sz w:val="24"/>
          <w:szCs w:val="24"/>
        </w:rPr>
        <w:t>insure</w:t>
      </w:r>
      <w:r w:rsidR="00EA7DD3" w:rsidRPr="00403E6A">
        <w:rPr>
          <w:rFonts w:ascii="Times New Roman" w:hAnsi="Times New Roman" w:cs="Times New Roman"/>
          <w:sz w:val="24"/>
          <w:szCs w:val="24"/>
        </w:rPr>
        <w:t>r</w:t>
      </w:r>
      <w:r w:rsidR="005C2BD8" w:rsidRPr="00403E6A">
        <w:rPr>
          <w:rFonts w:ascii="Times New Roman" w:hAnsi="Times New Roman" w:cs="Times New Roman"/>
          <w:sz w:val="24"/>
          <w:szCs w:val="24"/>
        </w:rPr>
        <w:t xml:space="preserve">. </w:t>
      </w:r>
      <w:r w:rsidR="00725F2C">
        <w:rPr>
          <w:rStyle w:val="FootnoteReference"/>
          <w:rFonts w:ascii="Times New Roman" w:hAnsi="Times New Roman" w:cs="Times New Roman"/>
          <w:sz w:val="24"/>
          <w:szCs w:val="24"/>
        </w:rPr>
        <w:footnoteReference w:id="114"/>
      </w:r>
    </w:p>
    <w:p w14:paraId="0BC6E1A1" w14:textId="00FA98D6" w:rsidR="000242A9" w:rsidRPr="00445306" w:rsidRDefault="00534464" w:rsidP="003C3D0C">
      <w:pPr>
        <w:spacing w:after="0" w:line="480" w:lineRule="auto"/>
        <w:rPr>
          <w:rFonts w:ascii="Times New Roman" w:hAnsi="Times New Roman" w:cs="Times New Roman"/>
          <w:i/>
          <w:iCs/>
          <w:sz w:val="24"/>
          <w:szCs w:val="24"/>
        </w:rPr>
      </w:pPr>
      <w:r w:rsidRPr="00403E6A">
        <w:rPr>
          <w:rFonts w:ascii="Times New Roman" w:hAnsi="Times New Roman" w:cs="Times New Roman"/>
          <w:sz w:val="24"/>
          <w:szCs w:val="24"/>
        </w:rPr>
        <w:tab/>
      </w:r>
      <w:r w:rsidR="008178EE" w:rsidRPr="00403E6A">
        <w:rPr>
          <w:rFonts w:ascii="Times New Roman" w:hAnsi="Times New Roman" w:cs="Times New Roman"/>
          <w:sz w:val="24"/>
          <w:szCs w:val="24"/>
        </w:rPr>
        <w:t xml:space="preserve">This economic integration requirement </w:t>
      </w:r>
      <w:r w:rsidR="003A16EE" w:rsidRPr="00403E6A">
        <w:rPr>
          <w:rFonts w:ascii="Times New Roman" w:hAnsi="Times New Roman" w:cs="Times New Roman"/>
          <w:sz w:val="24"/>
          <w:szCs w:val="24"/>
        </w:rPr>
        <w:t xml:space="preserve">led to an increase in </w:t>
      </w:r>
      <w:r w:rsidR="00350B3C" w:rsidRPr="00403E6A">
        <w:rPr>
          <w:rFonts w:ascii="Times New Roman" w:hAnsi="Times New Roman" w:cs="Times New Roman"/>
          <w:sz w:val="24"/>
          <w:szCs w:val="24"/>
        </w:rPr>
        <w:t>physician and hospital mergers in the 1990s.</w:t>
      </w:r>
      <w:r w:rsidR="005A23DB">
        <w:rPr>
          <w:rStyle w:val="FootnoteReference"/>
          <w:rFonts w:ascii="Times New Roman" w:hAnsi="Times New Roman" w:cs="Times New Roman"/>
          <w:sz w:val="24"/>
          <w:szCs w:val="24"/>
        </w:rPr>
        <w:footnoteReference w:id="115"/>
      </w:r>
      <w:r w:rsidR="00350B3C" w:rsidRPr="00403E6A">
        <w:rPr>
          <w:rFonts w:ascii="Times New Roman" w:hAnsi="Times New Roman" w:cs="Times New Roman"/>
          <w:sz w:val="24"/>
          <w:szCs w:val="24"/>
        </w:rPr>
        <w:t xml:space="preserve"> </w:t>
      </w:r>
      <w:r w:rsidR="007B1A76" w:rsidRPr="00403E6A">
        <w:rPr>
          <w:rFonts w:ascii="Times New Roman" w:hAnsi="Times New Roman" w:cs="Times New Roman"/>
          <w:sz w:val="24"/>
          <w:szCs w:val="24"/>
        </w:rPr>
        <w:t xml:space="preserve">As independent physicians needed </w:t>
      </w:r>
      <w:r w:rsidR="00B54A59" w:rsidRPr="00403E6A">
        <w:rPr>
          <w:rFonts w:ascii="Times New Roman" w:hAnsi="Times New Roman" w:cs="Times New Roman"/>
          <w:sz w:val="24"/>
          <w:szCs w:val="24"/>
        </w:rPr>
        <w:t xml:space="preserve">to </w:t>
      </w:r>
      <w:r w:rsidR="007B1A76" w:rsidRPr="00403E6A">
        <w:rPr>
          <w:rFonts w:ascii="Times New Roman" w:hAnsi="Times New Roman" w:cs="Times New Roman"/>
          <w:sz w:val="24"/>
          <w:szCs w:val="24"/>
        </w:rPr>
        <w:t>enhance</w:t>
      </w:r>
      <w:r w:rsidR="00B54A59" w:rsidRPr="00403E6A">
        <w:rPr>
          <w:rFonts w:ascii="Times New Roman" w:hAnsi="Times New Roman" w:cs="Times New Roman"/>
          <w:sz w:val="24"/>
          <w:szCs w:val="24"/>
        </w:rPr>
        <w:t xml:space="preserve"> their</w:t>
      </w:r>
      <w:r w:rsidR="007B1A76" w:rsidRPr="00403E6A">
        <w:rPr>
          <w:rFonts w:ascii="Times New Roman" w:hAnsi="Times New Roman" w:cs="Times New Roman"/>
          <w:sz w:val="24"/>
          <w:szCs w:val="24"/>
        </w:rPr>
        <w:t xml:space="preserve"> bargaining power</w:t>
      </w:r>
      <w:r w:rsidR="00B54A59" w:rsidRPr="00403E6A">
        <w:rPr>
          <w:rFonts w:ascii="Times New Roman" w:hAnsi="Times New Roman" w:cs="Times New Roman"/>
          <w:sz w:val="24"/>
          <w:szCs w:val="24"/>
        </w:rPr>
        <w:t xml:space="preserve"> </w:t>
      </w:r>
      <w:r w:rsidR="00B54A59" w:rsidRPr="00403E6A">
        <w:rPr>
          <w:rFonts w:ascii="Times New Roman" w:hAnsi="Times New Roman" w:cs="Times New Roman"/>
          <w:sz w:val="24"/>
          <w:szCs w:val="24"/>
        </w:rPr>
        <w:lastRenderedPageBreak/>
        <w:t>with insurers</w:t>
      </w:r>
      <w:r w:rsidR="007B1A76" w:rsidRPr="00403E6A">
        <w:rPr>
          <w:rFonts w:ascii="Times New Roman" w:hAnsi="Times New Roman" w:cs="Times New Roman"/>
          <w:sz w:val="24"/>
          <w:szCs w:val="24"/>
        </w:rPr>
        <w:t xml:space="preserve">, </w:t>
      </w:r>
      <w:r w:rsidR="00874968" w:rsidRPr="00403E6A">
        <w:rPr>
          <w:rFonts w:ascii="Times New Roman" w:hAnsi="Times New Roman" w:cs="Times New Roman"/>
          <w:sz w:val="24"/>
          <w:szCs w:val="24"/>
        </w:rPr>
        <w:t>there was an incentive to consolidate</w:t>
      </w:r>
      <w:r w:rsidR="00DA6EFD" w:rsidRPr="00403E6A">
        <w:rPr>
          <w:rFonts w:ascii="Times New Roman" w:hAnsi="Times New Roman" w:cs="Times New Roman"/>
          <w:sz w:val="24"/>
          <w:szCs w:val="24"/>
        </w:rPr>
        <w:t>.</w:t>
      </w:r>
      <w:r w:rsidR="0074061D">
        <w:rPr>
          <w:rStyle w:val="FootnoteReference"/>
          <w:rFonts w:ascii="Times New Roman" w:hAnsi="Times New Roman" w:cs="Times New Roman"/>
          <w:sz w:val="24"/>
          <w:szCs w:val="24"/>
        </w:rPr>
        <w:footnoteReference w:id="116"/>
      </w:r>
      <w:r w:rsidR="00DA6EFD" w:rsidRPr="00403E6A">
        <w:rPr>
          <w:rFonts w:ascii="Times New Roman" w:hAnsi="Times New Roman" w:cs="Times New Roman"/>
          <w:sz w:val="24"/>
          <w:szCs w:val="24"/>
        </w:rPr>
        <w:t xml:space="preserve"> </w:t>
      </w:r>
      <w:r w:rsidR="0032438E" w:rsidRPr="00403E6A">
        <w:rPr>
          <w:rFonts w:ascii="Times New Roman" w:hAnsi="Times New Roman" w:cs="Times New Roman"/>
          <w:sz w:val="24"/>
          <w:szCs w:val="24"/>
        </w:rPr>
        <w:t xml:space="preserve">This </w:t>
      </w:r>
      <w:r w:rsidR="001C607E" w:rsidRPr="00403E6A">
        <w:rPr>
          <w:rFonts w:ascii="Times New Roman" w:hAnsi="Times New Roman" w:cs="Times New Roman"/>
          <w:sz w:val="24"/>
          <w:szCs w:val="24"/>
        </w:rPr>
        <w:t xml:space="preserve">incentive only </w:t>
      </w:r>
      <w:r w:rsidR="006D3F97" w:rsidRPr="00403E6A">
        <w:rPr>
          <w:rFonts w:ascii="Times New Roman" w:hAnsi="Times New Roman" w:cs="Times New Roman"/>
          <w:sz w:val="24"/>
          <w:szCs w:val="24"/>
        </w:rPr>
        <w:t xml:space="preserve">increased after </w:t>
      </w:r>
      <w:r w:rsidR="00EC0EAE" w:rsidRPr="00403E6A">
        <w:rPr>
          <w:rFonts w:ascii="Times New Roman" w:hAnsi="Times New Roman" w:cs="Times New Roman"/>
          <w:sz w:val="24"/>
          <w:szCs w:val="24"/>
        </w:rPr>
        <w:t xml:space="preserve">the FTC and DOJ issued </w:t>
      </w:r>
      <w:r w:rsidR="00EF2663">
        <w:rPr>
          <w:rFonts w:ascii="Times New Roman" w:hAnsi="Times New Roman" w:cs="Times New Roman"/>
          <w:sz w:val="24"/>
          <w:szCs w:val="24"/>
        </w:rPr>
        <w:t xml:space="preserve">the </w:t>
      </w:r>
      <w:r w:rsidR="00EC0EAE" w:rsidRPr="00403E6A">
        <w:rPr>
          <w:rFonts w:ascii="Times New Roman" w:hAnsi="Times New Roman" w:cs="Times New Roman"/>
          <w:sz w:val="24"/>
          <w:szCs w:val="24"/>
        </w:rPr>
        <w:t xml:space="preserve">revised </w:t>
      </w:r>
      <w:r w:rsidR="003C3D0C" w:rsidRPr="003C3D0C">
        <w:rPr>
          <w:rFonts w:ascii="Times New Roman" w:hAnsi="Times New Roman" w:cs="Times New Roman"/>
          <w:i/>
          <w:iCs/>
          <w:sz w:val="24"/>
          <w:szCs w:val="24"/>
        </w:rPr>
        <w:t>Statements of Antitrust</w:t>
      </w:r>
      <w:r w:rsidR="00445306">
        <w:rPr>
          <w:rFonts w:ascii="Times New Roman" w:hAnsi="Times New Roman" w:cs="Times New Roman"/>
          <w:i/>
          <w:iCs/>
          <w:sz w:val="24"/>
          <w:szCs w:val="24"/>
        </w:rPr>
        <w:t xml:space="preserve"> </w:t>
      </w:r>
      <w:r w:rsidR="003C3D0C" w:rsidRPr="003C3D0C">
        <w:rPr>
          <w:rFonts w:ascii="Times New Roman" w:hAnsi="Times New Roman" w:cs="Times New Roman"/>
          <w:i/>
          <w:iCs/>
          <w:sz w:val="24"/>
          <w:szCs w:val="24"/>
        </w:rPr>
        <w:t xml:space="preserve">Enforcement Policy in Health Care </w:t>
      </w:r>
      <w:r w:rsidR="00445306" w:rsidRPr="00445306">
        <w:rPr>
          <w:rFonts w:ascii="Times New Roman" w:hAnsi="Times New Roman" w:cs="Times New Roman"/>
          <w:sz w:val="24"/>
          <w:szCs w:val="24"/>
        </w:rPr>
        <w:t>(1996)</w:t>
      </w:r>
      <w:r w:rsidR="00445306">
        <w:rPr>
          <w:rFonts w:ascii="Times New Roman" w:hAnsi="Times New Roman" w:cs="Times New Roman"/>
          <w:i/>
          <w:iCs/>
          <w:sz w:val="24"/>
          <w:szCs w:val="24"/>
        </w:rPr>
        <w:t xml:space="preserve"> </w:t>
      </w:r>
      <w:r w:rsidR="00884650" w:rsidRPr="00403E6A">
        <w:rPr>
          <w:rFonts w:ascii="Times New Roman" w:hAnsi="Times New Roman" w:cs="Times New Roman"/>
          <w:sz w:val="24"/>
          <w:szCs w:val="24"/>
        </w:rPr>
        <w:t>that</w:t>
      </w:r>
      <w:r w:rsidR="00456D90" w:rsidRPr="00403E6A">
        <w:rPr>
          <w:rFonts w:ascii="Times New Roman" w:hAnsi="Times New Roman" w:cs="Times New Roman"/>
          <w:sz w:val="24"/>
          <w:szCs w:val="24"/>
        </w:rPr>
        <w:t xml:space="preserve"> reigned in the </w:t>
      </w:r>
      <w:r w:rsidR="00456D90" w:rsidRPr="001B00EE">
        <w:rPr>
          <w:rFonts w:ascii="Times New Roman" w:hAnsi="Times New Roman" w:cs="Times New Roman"/>
          <w:i/>
          <w:iCs/>
          <w:sz w:val="24"/>
          <w:szCs w:val="24"/>
        </w:rPr>
        <w:t>MCMS</w:t>
      </w:r>
      <w:r w:rsidR="00456D90" w:rsidRPr="00403E6A">
        <w:rPr>
          <w:rFonts w:ascii="Times New Roman" w:hAnsi="Times New Roman" w:cs="Times New Roman"/>
          <w:sz w:val="24"/>
          <w:szCs w:val="24"/>
        </w:rPr>
        <w:t xml:space="preserve"> holding. T</w:t>
      </w:r>
      <w:r w:rsidR="00376C3A" w:rsidRPr="00403E6A">
        <w:rPr>
          <w:rFonts w:ascii="Times New Roman" w:hAnsi="Times New Roman" w:cs="Times New Roman"/>
          <w:sz w:val="24"/>
          <w:szCs w:val="24"/>
        </w:rPr>
        <w:t>h</w:t>
      </w:r>
      <w:r w:rsidR="00456D90" w:rsidRPr="00403E6A">
        <w:rPr>
          <w:rFonts w:ascii="Times New Roman" w:hAnsi="Times New Roman" w:cs="Times New Roman"/>
          <w:sz w:val="24"/>
          <w:szCs w:val="24"/>
        </w:rPr>
        <w:t xml:space="preserve">e </w:t>
      </w:r>
      <w:r w:rsidR="00445306">
        <w:rPr>
          <w:rFonts w:ascii="Times New Roman" w:hAnsi="Times New Roman" w:cs="Times New Roman"/>
          <w:sz w:val="24"/>
          <w:szCs w:val="24"/>
        </w:rPr>
        <w:t xml:space="preserve">revision </w:t>
      </w:r>
      <w:r w:rsidR="00456D90" w:rsidRPr="00403E6A">
        <w:rPr>
          <w:rFonts w:ascii="Times New Roman" w:hAnsi="Times New Roman" w:cs="Times New Roman"/>
          <w:sz w:val="24"/>
          <w:szCs w:val="24"/>
        </w:rPr>
        <w:t>stated that</w:t>
      </w:r>
      <w:r w:rsidR="00376C3A" w:rsidRPr="00403E6A">
        <w:rPr>
          <w:rFonts w:ascii="Times New Roman" w:hAnsi="Times New Roman" w:cs="Times New Roman"/>
          <w:sz w:val="24"/>
          <w:szCs w:val="24"/>
        </w:rPr>
        <w:t xml:space="preserve"> </w:t>
      </w:r>
      <w:r w:rsidR="00EC0EAE" w:rsidRPr="00403E6A">
        <w:rPr>
          <w:rFonts w:ascii="Times New Roman" w:hAnsi="Times New Roman" w:cs="Times New Roman"/>
          <w:sz w:val="24"/>
          <w:szCs w:val="24"/>
        </w:rPr>
        <w:t xml:space="preserve">“clinical integration” </w:t>
      </w:r>
      <w:r w:rsidR="00613ED2" w:rsidRPr="00403E6A">
        <w:rPr>
          <w:rFonts w:ascii="Times New Roman" w:hAnsi="Times New Roman" w:cs="Times New Roman"/>
          <w:sz w:val="24"/>
          <w:szCs w:val="24"/>
        </w:rPr>
        <w:t>would be</w:t>
      </w:r>
      <w:r w:rsidR="00EC0EAE" w:rsidRPr="00403E6A">
        <w:rPr>
          <w:rFonts w:ascii="Times New Roman" w:hAnsi="Times New Roman" w:cs="Times New Roman"/>
          <w:sz w:val="24"/>
          <w:szCs w:val="24"/>
        </w:rPr>
        <w:t xml:space="preserve"> a </w:t>
      </w:r>
      <w:r w:rsidR="009D72AB" w:rsidRPr="00403E6A">
        <w:rPr>
          <w:rFonts w:ascii="Times New Roman" w:hAnsi="Times New Roman" w:cs="Times New Roman"/>
          <w:sz w:val="24"/>
          <w:szCs w:val="24"/>
        </w:rPr>
        <w:t xml:space="preserve">permissible type </w:t>
      </w:r>
      <w:r w:rsidR="00EC0EAE" w:rsidRPr="00403E6A">
        <w:rPr>
          <w:rFonts w:ascii="Times New Roman" w:hAnsi="Times New Roman" w:cs="Times New Roman"/>
          <w:sz w:val="24"/>
          <w:szCs w:val="24"/>
        </w:rPr>
        <w:t xml:space="preserve">of collaboration </w:t>
      </w:r>
      <w:r w:rsidR="00613ED2" w:rsidRPr="00403E6A">
        <w:rPr>
          <w:rFonts w:ascii="Times New Roman" w:hAnsi="Times New Roman" w:cs="Times New Roman"/>
          <w:sz w:val="24"/>
          <w:szCs w:val="24"/>
        </w:rPr>
        <w:t xml:space="preserve">because of its </w:t>
      </w:r>
      <w:r w:rsidR="00EC0EAE" w:rsidRPr="00403E6A">
        <w:rPr>
          <w:rFonts w:ascii="Times New Roman" w:hAnsi="Times New Roman" w:cs="Times New Roman"/>
          <w:sz w:val="24"/>
          <w:szCs w:val="24"/>
        </w:rPr>
        <w:t xml:space="preserve">potential to </w:t>
      </w:r>
      <w:r w:rsidR="00CE1932" w:rsidRPr="00403E6A">
        <w:rPr>
          <w:rFonts w:ascii="Times New Roman" w:hAnsi="Times New Roman" w:cs="Times New Roman"/>
          <w:sz w:val="24"/>
          <w:szCs w:val="24"/>
        </w:rPr>
        <w:t xml:space="preserve">benefit consumers </w:t>
      </w:r>
      <w:r w:rsidR="00EC0EAE" w:rsidRPr="00403E6A">
        <w:rPr>
          <w:rFonts w:ascii="Times New Roman" w:hAnsi="Times New Roman" w:cs="Times New Roman"/>
          <w:sz w:val="24"/>
          <w:szCs w:val="24"/>
        </w:rPr>
        <w:t>and therefore warranted rule of reason</w:t>
      </w:r>
      <w:r w:rsidR="00376C3A" w:rsidRPr="00403E6A">
        <w:rPr>
          <w:rFonts w:ascii="Times New Roman" w:hAnsi="Times New Roman" w:cs="Times New Roman"/>
          <w:sz w:val="24"/>
          <w:szCs w:val="24"/>
        </w:rPr>
        <w:t xml:space="preserve"> </w:t>
      </w:r>
      <w:r w:rsidR="00EC0EAE" w:rsidRPr="00403E6A">
        <w:rPr>
          <w:rFonts w:ascii="Times New Roman" w:hAnsi="Times New Roman" w:cs="Times New Roman"/>
          <w:sz w:val="24"/>
          <w:szCs w:val="24"/>
        </w:rPr>
        <w:t>treatment</w:t>
      </w:r>
      <w:r w:rsidR="00376C3A" w:rsidRPr="00403E6A">
        <w:rPr>
          <w:rFonts w:ascii="Times New Roman" w:hAnsi="Times New Roman" w:cs="Times New Roman"/>
          <w:sz w:val="24"/>
          <w:szCs w:val="24"/>
        </w:rPr>
        <w:t>.</w:t>
      </w:r>
      <w:r w:rsidR="003150D6">
        <w:rPr>
          <w:rStyle w:val="FootnoteReference"/>
          <w:rFonts w:ascii="Times New Roman" w:hAnsi="Times New Roman" w:cs="Times New Roman"/>
          <w:sz w:val="24"/>
          <w:szCs w:val="24"/>
        </w:rPr>
        <w:footnoteReference w:id="117"/>
      </w:r>
      <w:r w:rsidR="00376C3A" w:rsidRPr="00403E6A">
        <w:rPr>
          <w:rFonts w:ascii="Times New Roman" w:hAnsi="Times New Roman" w:cs="Times New Roman"/>
          <w:sz w:val="24"/>
          <w:szCs w:val="24"/>
        </w:rPr>
        <w:t xml:space="preserve"> </w:t>
      </w:r>
      <w:r w:rsidR="00304465">
        <w:rPr>
          <w:rFonts w:ascii="Times New Roman" w:hAnsi="Times New Roman" w:cs="Times New Roman"/>
          <w:sz w:val="24"/>
          <w:szCs w:val="24"/>
        </w:rPr>
        <w:t xml:space="preserve">The </w:t>
      </w:r>
      <w:r w:rsidR="00D35760" w:rsidRPr="00403E6A">
        <w:rPr>
          <w:rFonts w:ascii="Times New Roman" w:hAnsi="Times New Roman" w:cs="Times New Roman"/>
          <w:sz w:val="24"/>
          <w:szCs w:val="24"/>
        </w:rPr>
        <w:t>agencies</w:t>
      </w:r>
      <w:r w:rsidR="001F4A66">
        <w:rPr>
          <w:rFonts w:ascii="Times New Roman" w:hAnsi="Times New Roman" w:cs="Times New Roman"/>
          <w:sz w:val="24"/>
          <w:szCs w:val="24"/>
        </w:rPr>
        <w:t xml:space="preserve"> were reluctant to overreach and specifically define</w:t>
      </w:r>
      <w:r w:rsidR="007340D2">
        <w:rPr>
          <w:rFonts w:ascii="Times New Roman" w:hAnsi="Times New Roman" w:cs="Times New Roman"/>
          <w:sz w:val="24"/>
          <w:szCs w:val="24"/>
        </w:rPr>
        <w:t>d</w:t>
      </w:r>
      <w:r w:rsidR="001F4A66">
        <w:rPr>
          <w:rFonts w:ascii="Times New Roman" w:hAnsi="Times New Roman" w:cs="Times New Roman"/>
          <w:sz w:val="24"/>
          <w:szCs w:val="24"/>
        </w:rPr>
        <w:t xml:space="preserve"> </w:t>
      </w:r>
      <w:r w:rsidR="00021720">
        <w:rPr>
          <w:rFonts w:ascii="Times New Roman" w:hAnsi="Times New Roman" w:cs="Times New Roman"/>
          <w:sz w:val="24"/>
          <w:szCs w:val="24"/>
        </w:rPr>
        <w:t>“clinical integration” vaguely</w:t>
      </w:r>
      <w:r w:rsidR="001D3FB3">
        <w:rPr>
          <w:rFonts w:ascii="Times New Roman" w:hAnsi="Times New Roman" w:cs="Times New Roman"/>
          <w:sz w:val="24"/>
          <w:szCs w:val="24"/>
        </w:rPr>
        <w:t xml:space="preserve">, due to </w:t>
      </w:r>
      <w:r w:rsidR="00CF418C" w:rsidRPr="00403E6A">
        <w:rPr>
          <w:rFonts w:ascii="Times New Roman" w:hAnsi="Times New Roman" w:cs="Times New Roman"/>
          <w:sz w:val="24"/>
          <w:szCs w:val="24"/>
        </w:rPr>
        <w:t xml:space="preserve">their </w:t>
      </w:r>
      <w:r w:rsidR="001D3FB3">
        <w:rPr>
          <w:rFonts w:ascii="Times New Roman" w:hAnsi="Times New Roman" w:cs="Times New Roman"/>
          <w:sz w:val="24"/>
          <w:szCs w:val="24"/>
        </w:rPr>
        <w:t xml:space="preserve">lack of </w:t>
      </w:r>
      <w:r w:rsidR="00CF418C" w:rsidRPr="00403E6A">
        <w:rPr>
          <w:rFonts w:ascii="Times New Roman" w:hAnsi="Times New Roman" w:cs="Times New Roman"/>
          <w:sz w:val="24"/>
          <w:szCs w:val="24"/>
        </w:rPr>
        <w:t>knowledge of health care process</w:t>
      </w:r>
      <w:r w:rsidR="001D3FB3">
        <w:rPr>
          <w:rFonts w:ascii="Times New Roman" w:hAnsi="Times New Roman" w:cs="Times New Roman"/>
          <w:sz w:val="24"/>
          <w:szCs w:val="24"/>
        </w:rPr>
        <w:t>es</w:t>
      </w:r>
      <w:r w:rsidR="00CF418C" w:rsidRPr="00403E6A">
        <w:rPr>
          <w:rFonts w:ascii="Times New Roman" w:hAnsi="Times New Roman" w:cs="Times New Roman"/>
          <w:sz w:val="24"/>
          <w:szCs w:val="24"/>
        </w:rPr>
        <w:t>.</w:t>
      </w:r>
      <w:r w:rsidR="00750955">
        <w:rPr>
          <w:rStyle w:val="FootnoteReference"/>
          <w:rFonts w:ascii="Times New Roman" w:hAnsi="Times New Roman" w:cs="Times New Roman"/>
          <w:sz w:val="24"/>
          <w:szCs w:val="24"/>
        </w:rPr>
        <w:footnoteReference w:id="118"/>
      </w:r>
      <w:r w:rsidR="00CF418C" w:rsidRPr="00403E6A">
        <w:rPr>
          <w:rFonts w:ascii="Times New Roman" w:hAnsi="Times New Roman" w:cs="Times New Roman"/>
          <w:sz w:val="24"/>
          <w:szCs w:val="24"/>
        </w:rPr>
        <w:t xml:space="preserve"> </w:t>
      </w:r>
      <w:r w:rsidR="007340D2">
        <w:rPr>
          <w:rFonts w:ascii="Times New Roman" w:hAnsi="Times New Roman" w:cs="Times New Roman"/>
          <w:sz w:val="24"/>
          <w:szCs w:val="24"/>
        </w:rPr>
        <w:t>Despite industry</w:t>
      </w:r>
      <w:r w:rsidR="00D50CDD">
        <w:rPr>
          <w:rFonts w:ascii="Times New Roman" w:hAnsi="Times New Roman" w:cs="Times New Roman"/>
          <w:sz w:val="24"/>
          <w:szCs w:val="24"/>
        </w:rPr>
        <w:t xml:space="preserve">-wide </w:t>
      </w:r>
      <w:r w:rsidR="007340D2">
        <w:rPr>
          <w:rFonts w:ascii="Times New Roman" w:hAnsi="Times New Roman" w:cs="Times New Roman"/>
          <w:sz w:val="24"/>
          <w:szCs w:val="24"/>
        </w:rPr>
        <w:t xml:space="preserve">confusion </w:t>
      </w:r>
      <w:r w:rsidR="00D50CDD">
        <w:rPr>
          <w:rFonts w:ascii="Times New Roman" w:hAnsi="Times New Roman" w:cs="Times New Roman"/>
          <w:sz w:val="24"/>
          <w:szCs w:val="24"/>
        </w:rPr>
        <w:t>for the next decade</w:t>
      </w:r>
      <w:r w:rsidR="00886B9F" w:rsidRPr="00403E6A">
        <w:rPr>
          <w:rFonts w:ascii="Times New Roman" w:hAnsi="Times New Roman" w:cs="Times New Roman"/>
          <w:sz w:val="24"/>
          <w:szCs w:val="24"/>
        </w:rPr>
        <w:t>,</w:t>
      </w:r>
      <w:r w:rsidR="007340D2">
        <w:rPr>
          <w:rStyle w:val="FootnoteReference"/>
          <w:rFonts w:ascii="Times New Roman" w:hAnsi="Times New Roman" w:cs="Times New Roman"/>
          <w:sz w:val="24"/>
          <w:szCs w:val="24"/>
        </w:rPr>
        <w:footnoteReference w:id="119"/>
      </w:r>
      <w:r w:rsidR="00CF418C" w:rsidRPr="00403E6A">
        <w:rPr>
          <w:rFonts w:ascii="Times New Roman" w:hAnsi="Times New Roman" w:cs="Times New Roman"/>
          <w:sz w:val="24"/>
          <w:szCs w:val="24"/>
        </w:rPr>
        <w:t xml:space="preserve"> </w:t>
      </w:r>
      <w:r w:rsidR="00E30493" w:rsidRPr="00403E6A">
        <w:rPr>
          <w:rFonts w:ascii="Times New Roman" w:hAnsi="Times New Roman" w:cs="Times New Roman"/>
          <w:sz w:val="24"/>
          <w:szCs w:val="24"/>
        </w:rPr>
        <w:t xml:space="preserve">the </w:t>
      </w:r>
      <w:r w:rsidR="00E30493" w:rsidRPr="00403E6A">
        <w:rPr>
          <w:rFonts w:ascii="Times New Roman" w:hAnsi="Times New Roman" w:cs="Times New Roman"/>
          <w:i/>
          <w:iCs/>
          <w:sz w:val="24"/>
          <w:szCs w:val="24"/>
        </w:rPr>
        <w:t>North Texas Specialty Physician</w:t>
      </w:r>
      <w:r w:rsidR="00421530" w:rsidRPr="00403E6A">
        <w:rPr>
          <w:rFonts w:ascii="Times New Roman" w:hAnsi="Times New Roman" w:cs="Times New Roman"/>
          <w:i/>
          <w:iCs/>
          <w:sz w:val="24"/>
          <w:szCs w:val="24"/>
        </w:rPr>
        <w:t>s (NTSP)</w:t>
      </w:r>
      <w:r w:rsidR="00E30493" w:rsidRPr="00403E6A">
        <w:rPr>
          <w:rFonts w:ascii="Times New Roman" w:hAnsi="Times New Roman" w:cs="Times New Roman"/>
          <w:i/>
          <w:iCs/>
          <w:sz w:val="24"/>
          <w:szCs w:val="24"/>
        </w:rPr>
        <w:t xml:space="preserve"> v. FTC</w:t>
      </w:r>
      <w:r w:rsidR="00E30493" w:rsidRPr="00403E6A">
        <w:rPr>
          <w:rFonts w:ascii="Times New Roman" w:hAnsi="Times New Roman" w:cs="Times New Roman"/>
          <w:sz w:val="24"/>
          <w:szCs w:val="24"/>
        </w:rPr>
        <w:t xml:space="preserve"> case </w:t>
      </w:r>
      <w:r w:rsidR="00CF418C" w:rsidRPr="00403E6A">
        <w:rPr>
          <w:rFonts w:ascii="Times New Roman" w:hAnsi="Times New Roman" w:cs="Times New Roman"/>
          <w:sz w:val="24"/>
          <w:szCs w:val="24"/>
        </w:rPr>
        <w:t xml:space="preserve">in 2008 </w:t>
      </w:r>
      <w:r w:rsidR="00E30493" w:rsidRPr="00403E6A">
        <w:rPr>
          <w:rFonts w:ascii="Times New Roman" w:hAnsi="Times New Roman" w:cs="Times New Roman"/>
          <w:sz w:val="24"/>
          <w:szCs w:val="24"/>
        </w:rPr>
        <w:t xml:space="preserve">provided </w:t>
      </w:r>
      <w:r w:rsidR="00333229" w:rsidRPr="00403E6A">
        <w:rPr>
          <w:rFonts w:ascii="Times New Roman" w:hAnsi="Times New Roman" w:cs="Times New Roman"/>
          <w:sz w:val="24"/>
          <w:szCs w:val="24"/>
        </w:rPr>
        <w:t>clarity</w:t>
      </w:r>
      <w:r w:rsidR="000B1FEB" w:rsidRPr="00403E6A">
        <w:rPr>
          <w:rFonts w:ascii="Times New Roman" w:hAnsi="Times New Roman" w:cs="Times New Roman"/>
          <w:sz w:val="24"/>
          <w:szCs w:val="24"/>
        </w:rPr>
        <w:t xml:space="preserve"> int</w:t>
      </w:r>
      <w:r w:rsidR="00CF418C" w:rsidRPr="00403E6A">
        <w:rPr>
          <w:rFonts w:ascii="Times New Roman" w:hAnsi="Times New Roman" w:cs="Times New Roman"/>
          <w:sz w:val="24"/>
          <w:szCs w:val="24"/>
        </w:rPr>
        <w:t xml:space="preserve">o </w:t>
      </w:r>
      <w:r w:rsidR="00BD2D2E" w:rsidRPr="00403E6A">
        <w:rPr>
          <w:rFonts w:ascii="Times New Roman" w:hAnsi="Times New Roman" w:cs="Times New Roman"/>
          <w:sz w:val="24"/>
          <w:szCs w:val="24"/>
        </w:rPr>
        <w:t xml:space="preserve">how physician groups could properly integrate. </w:t>
      </w:r>
      <w:r w:rsidR="00FF3302" w:rsidRPr="00403E6A">
        <w:rPr>
          <w:rFonts w:ascii="Times New Roman" w:hAnsi="Times New Roman" w:cs="Times New Roman"/>
          <w:sz w:val="24"/>
          <w:szCs w:val="24"/>
        </w:rPr>
        <w:t xml:space="preserve">In </w:t>
      </w:r>
      <w:r w:rsidR="00FF3302" w:rsidRPr="00403E6A">
        <w:rPr>
          <w:rFonts w:ascii="Times New Roman" w:hAnsi="Times New Roman" w:cs="Times New Roman"/>
          <w:i/>
          <w:iCs/>
          <w:sz w:val="24"/>
          <w:szCs w:val="24"/>
        </w:rPr>
        <w:t>NTSP</w:t>
      </w:r>
      <w:r w:rsidR="00FF3302" w:rsidRPr="00403E6A">
        <w:rPr>
          <w:rFonts w:ascii="Times New Roman" w:hAnsi="Times New Roman" w:cs="Times New Roman"/>
          <w:sz w:val="24"/>
          <w:szCs w:val="24"/>
        </w:rPr>
        <w:t xml:space="preserve">, </w:t>
      </w:r>
      <w:r w:rsidR="00981BDF" w:rsidRPr="00403E6A">
        <w:rPr>
          <w:rFonts w:ascii="Times New Roman" w:hAnsi="Times New Roman" w:cs="Times New Roman"/>
          <w:sz w:val="24"/>
          <w:szCs w:val="24"/>
        </w:rPr>
        <w:t>t</w:t>
      </w:r>
      <w:r w:rsidR="00FF3302" w:rsidRPr="00403E6A">
        <w:rPr>
          <w:rFonts w:ascii="Times New Roman" w:hAnsi="Times New Roman" w:cs="Times New Roman"/>
          <w:sz w:val="24"/>
          <w:szCs w:val="24"/>
        </w:rPr>
        <w:t xml:space="preserve">he FTC </w:t>
      </w:r>
      <w:r w:rsidR="00093769">
        <w:rPr>
          <w:rFonts w:ascii="Times New Roman" w:hAnsi="Times New Roman" w:cs="Times New Roman"/>
          <w:sz w:val="24"/>
          <w:szCs w:val="24"/>
        </w:rPr>
        <w:t xml:space="preserve">had </w:t>
      </w:r>
      <w:r w:rsidR="00981BDF" w:rsidRPr="00403E6A">
        <w:rPr>
          <w:rFonts w:ascii="Times New Roman" w:hAnsi="Times New Roman" w:cs="Times New Roman"/>
          <w:sz w:val="24"/>
          <w:szCs w:val="24"/>
        </w:rPr>
        <w:t xml:space="preserve">found that </w:t>
      </w:r>
      <w:r w:rsidR="005315BF" w:rsidRPr="00403E6A">
        <w:rPr>
          <w:rFonts w:ascii="Times New Roman" w:hAnsi="Times New Roman" w:cs="Times New Roman"/>
          <w:sz w:val="24"/>
          <w:szCs w:val="24"/>
        </w:rPr>
        <w:t>certain aspects of the defendant</w:t>
      </w:r>
      <w:r w:rsidR="007F1418" w:rsidRPr="00403E6A">
        <w:rPr>
          <w:rFonts w:ascii="Times New Roman" w:hAnsi="Times New Roman" w:cs="Times New Roman"/>
          <w:sz w:val="24"/>
          <w:szCs w:val="24"/>
        </w:rPr>
        <w:t>’s</w:t>
      </w:r>
      <w:r w:rsidR="005315BF" w:rsidRPr="00403E6A">
        <w:rPr>
          <w:rFonts w:ascii="Times New Roman" w:hAnsi="Times New Roman" w:cs="Times New Roman"/>
          <w:sz w:val="24"/>
          <w:szCs w:val="24"/>
        </w:rPr>
        <w:t xml:space="preserve"> non-risk contract business, combined to result in horizontal price-fixing.</w:t>
      </w:r>
      <w:r w:rsidR="008272FF">
        <w:rPr>
          <w:rStyle w:val="FootnoteReference"/>
          <w:rFonts w:ascii="Times New Roman" w:hAnsi="Times New Roman" w:cs="Times New Roman"/>
          <w:sz w:val="24"/>
          <w:szCs w:val="24"/>
        </w:rPr>
        <w:footnoteReference w:id="120"/>
      </w:r>
      <w:r w:rsidR="00981BDF" w:rsidRPr="00403E6A">
        <w:rPr>
          <w:rFonts w:ascii="Times New Roman" w:hAnsi="Times New Roman" w:cs="Times New Roman"/>
          <w:sz w:val="24"/>
          <w:szCs w:val="24"/>
        </w:rPr>
        <w:t xml:space="preserve"> </w:t>
      </w:r>
      <w:r w:rsidR="00300F38" w:rsidRPr="00403E6A">
        <w:rPr>
          <w:rFonts w:ascii="Times New Roman" w:hAnsi="Times New Roman" w:cs="Times New Roman"/>
          <w:sz w:val="24"/>
          <w:szCs w:val="24"/>
        </w:rPr>
        <w:t>The defendant in this case was a physician union that participated in both risk and non-risk contracts.</w:t>
      </w:r>
      <w:r w:rsidR="00AF203D">
        <w:rPr>
          <w:rStyle w:val="FootnoteReference"/>
          <w:rFonts w:ascii="Times New Roman" w:hAnsi="Times New Roman" w:cs="Times New Roman"/>
          <w:sz w:val="24"/>
          <w:szCs w:val="24"/>
        </w:rPr>
        <w:footnoteReference w:id="121"/>
      </w:r>
      <w:r w:rsidR="00300F38" w:rsidRPr="00403E6A">
        <w:rPr>
          <w:rFonts w:ascii="Times New Roman" w:hAnsi="Times New Roman" w:cs="Times New Roman"/>
          <w:sz w:val="24"/>
          <w:szCs w:val="24"/>
        </w:rPr>
        <w:t xml:space="preserve"> </w:t>
      </w:r>
      <w:r w:rsidR="00915995" w:rsidRPr="00403E6A">
        <w:rPr>
          <w:rFonts w:ascii="Times New Roman" w:hAnsi="Times New Roman" w:cs="Times New Roman"/>
          <w:sz w:val="24"/>
          <w:szCs w:val="24"/>
        </w:rPr>
        <w:t>The</w:t>
      </w:r>
      <w:r w:rsidR="00A8294B" w:rsidRPr="00403E6A">
        <w:rPr>
          <w:rFonts w:ascii="Times New Roman" w:hAnsi="Times New Roman" w:cs="Times New Roman"/>
          <w:sz w:val="24"/>
          <w:szCs w:val="24"/>
        </w:rPr>
        <w:t xml:space="preserve"> </w:t>
      </w:r>
      <w:r w:rsidR="00915995" w:rsidRPr="00403E6A">
        <w:rPr>
          <w:rFonts w:ascii="Times New Roman" w:hAnsi="Times New Roman" w:cs="Times New Roman"/>
          <w:sz w:val="24"/>
          <w:szCs w:val="24"/>
        </w:rPr>
        <w:t xml:space="preserve">practices </w:t>
      </w:r>
      <w:r w:rsidR="00A8294B" w:rsidRPr="00403E6A">
        <w:rPr>
          <w:rFonts w:ascii="Times New Roman" w:hAnsi="Times New Roman" w:cs="Times New Roman"/>
          <w:sz w:val="24"/>
          <w:szCs w:val="24"/>
        </w:rPr>
        <w:t xml:space="preserve">at issue </w:t>
      </w:r>
      <w:r w:rsidR="00915995" w:rsidRPr="00403E6A">
        <w:rPr>
          <w:rFonts w:ascii="Times New Roman" w:hAnsi="Times New Roman" w:cs="Times New Roman"/>
          <w:sz w:val="24"/>
          <w:szCs w:val="24"/>
        </w:rPr>
        <w:t xml:space="preserve">included </w:t>
      </w:r>
      <w:r w:rsidR="00C85E93" w:rsidRPr="00403E6A">
        <w:rPr>
          <w:rFonts w:ascii="Times New Roman" w:hAnsi="Times New Roman" w:cs="Times New Roman"/>
          <w:sz w:val="24"/>
          <w:szCs w:val="24"/>
        </w:rPr>
        <w:t>“</w:t>
      </w:r>
      <w:r w:rsidR="00915995" w:rsidRPr="00403E6A">
        <w:rPr>
          <w:rFonts w:ascii="Times New Roman" w:hAnsi="Times New Roman" w:cs="Times New Roman"/>
          <w:sz w:val="24"/>
          <w:szCs w:val="24"/>
        </w:rPr>
        <w:t xml:space="preserve">the disclosure to all affiliated physicians </w:t>
      </w:r>
      <w:r w:rsidR="00D425E2" w:rsidRPr="00403E6A">
        <w:rPr>
          <w:rFonts w:ascii="Times New Roman" w:hAnsi="Times New Roman" w:cs="Times New Roman"/>
          <w:sz w:val="24"/>
          <w:szCs w:val="24"/>
        </w:rPr>
        <w:t xml:space="preserve">… </w:t>
      </w:r>
      <w:r w:rsidR="00915995" w:rsidRPr="00403E6A">
        <w:rPr>
          <w:rFonts w:ascii="Times New Roman" w:hAnsi="Times New Roman" w:cs="Times New Roman"/>
          <w:sz w:val="24"/>
          <w:szCs w:val="24"/>
        </w:rPr>
        <w:t>results of polls to determine the minimum rates physicians would accept</w:t>
      </w:r>
      <w:r w:rsidR="00C85E93" w:rsidRPr="00403E6A">
        <w:rPr>
          <w:rFonts w:ascii="Times New Roman" w:hAnsi="Times New Roman" w:cs="Times New Roman"/>
          <w:sz w:val="24"/>
          <w:szCs w:val="24"/>
        </w:rPr>
        <w:t xml:space="preserve"> … </w:t>
      </w:r>
      <w:r w:rsidR="00915995" w:rsidRPr="00403E6A">
        <w:rPr>
          <w:rFonts w:ascii="Times New Roman" w:hAnsi="Times New Roman" w:cs="Times New Roman"/>
          <w:sz w:val="24"/>
          <w:szCs w:val="24"/>
        </w:rPr>
        <w:t>and NTSP's use of that minimum price when it negotiated with payors on behalf of physicians.</w:t>
      </w:r>
      <w:r w:rsidR="00C85E93" w:rsidRPr="00403E6A">
        <w:rPr>
          <w:rFonts w:ascii="Times New Roman" w:hAnsi="Times New Roman" w:cs="Times New Roman"/>
          <w:sz w:val="24"/>
          <w:szCs w:val="24"/>
        </w:rPr>
        <w:t>”</w:t>
      </w:r>
      <w:r w:rsidR="00F77038">
        <w:rPr>
          <w:rStyle w:val="FootnoteReference"/>
          <w:rFonts w:ascii="Times New Roman" w:hAnsi="Times New Roman" w:cs="Times New Roman"/>
          <w:sz w:val="24"/>
          <w:szCs w:val="24"/>
        </w:rPr>
        <w:footnoteReference w:id="122"/>
      </w:r>
      <w:r w:rsidR="00C85E93" w:rsidRPr="00403E6A">
        <w:rPr>
          <w:rFonts w:ascii="Times New Roman" w:hAnsi="Times New Roman" w:cs="Times New Roman"/>
          <w:sz w:val="24"/>
          <w:szCs w:val="24"/>
        </w:rPr>
        <w:t xml:space="preserve"> </w:t>
      </w:r>
      <w:r w:rsidR="009C7408" w:rsidRPr="00403E6A">
        <w:rPr>
          <w:rFonts w:ascii="Times New Roman" w:hAnsi="Times New Roman" w:cs="Times New Roman"/>
          <w:sz w:val="24"/>
          <w:szCs w:val="24"/>
        </w:rPr>
        <w:t xml:space="preserve">The court held that despite </w:t>
      </w:r>
      <w:r w:rsidR="00E173B8" w:rsidRPr="00403E6A">
        <w:rPr>
          <w:rFonts w:ascii="Times New Roman" w:hAnsi="Times New Roman" w:cs="Times New Roman"/>
          <w:sz w:val="24"/>
          <w:szCs w:val="24"/>
        </w:rPr>
        <w:t xml:space="preserve">NTSP’s status as a “memberless” organization, </w:t>
      </w:r>
      <w:r w:rsidR="0069712C" w:rsidRPr="00403E6A">
        <w:rPr>
          <w:rFonts w:ascii="Times New Roman" w:hAnsi="Times New Roman" w:cs="Times New Roman"/>
          <w:sz w:val="24"/>
          <w:szCs w:val="24"/>
        </w:rPr>
        <w:t>a group of competitors controlled the organization, and was therefore considered to be a conspiracy of its members.</w:t>
      </w:r>
      <w:r w:rsidR="00B3043E">
        <w:rPr>
          <w:rStyle w:val="FootnoteReference"/>
          <w:rFonts w:ascii="Times New Roman" w:hAnsi="Times New Roman" w:cs="Times New Roman"/>
          <w:sz w:val="24"/>
          <w:szCs w:val="24"/>
        </w:rPr>
        <w:footnoteReference w:id="123"/>
      </w:r>
      <w:r w:rsidR="00E173B8" w:rsidRPr="00403E6A">
        <w:rPr>
          <w:rFonts w:ascii="Times New Roman" w:hAnsi="Times New Roman" w:cs="Times New Roman"/>
          <w:sz w:val="24"/>
          <w:szCs w:val="24"/>
        </w:rPr>
        <w:t xml:space="preserve"> </w:t>
      </w:r>
      <w:r w:rsidR="002C29E1" w:rsidRPr="00403E6A">
        <w:rPr>
          <w:rFonts w:ascii="Times New Roman" w:hAnsi="Times New Roman" w:cs="Times New Roman"/>
          <w:sz w:val="24"/>
          <w:szCs w:val="24"/>
        </w:rPr>
        <w:t xml:space="preserve">Moreover, the court found that </w:t>
      </w:r>
      <w:r w:rsidR="004F3434" w:rsidRPr="00403E6A">
        <w:rPr>
          <w:rFonts w:ascii="Times New Roman" w:hAnsi="Times New Roman" w:cs="Times New Roman"/>
          <w:sz w:val="24"/>
          <w:szCs w:val="24"/>
        </w:rPr>
        <w:t xml:space="preserve">the </w:t>
      </w:r>
      <w:r w:rsidR="00A22C4D" w:rsidRPr="00403E6A">
        <w:rPr>
          <w:rFonts w:ascii="Times New Roman" w:hAnsi="Times New Roman" w:cs="Times New Roman"/>
          <w:sz w:val="24"/>
          <w:szCs w:val="24"/>
        </w:rPr>
        <w:t xml:space="preserve">different medical </w:t>
      </w:r>
      <w:r w:rsidR="00A22C4D" w:rsidRPr="00403E6A">
        <w:rPr>
          <w:rFonts w:ascii="Times New Roman" w:hAnsi="Times New Roman" w:cs="Times New Roman"/>
          <w:sz w:val="24"/>
          <w:szCs w:val="24"/>
        </w:rPr>
        <w:lastRenderedPageBreak/>
        <w:t>specialties</w:t>
      </w:r>
      <w:r w:rsidR="00C1577A" w:rsidRPr="00403E6A">
        <w:rPr>
          <w:rFonts w:ascii="Times New Roman" w:hAnsi="Times New Roman" w:cs="Times New Roman"/>
          <w:sz w:val="24"/>
          <w:szCs w:val="24"/>
        </w:rPr>
        <w:t xml:space="preserve"> </w:t>
      </w:r>
      <w:r w:rsidR="0064285B" w:rsidRPr="00403E6A">
        <w:rPr>
          <w:rFonts w:ascii="Times New Roman" w:hAnsi="Times New Roman" w:cs="Times New Roman"/>
          <w:sz w:val="24"/>
          <w:szCs w:val="24"/>
        </w:rPr>
        <w:t>o</w:t>
      </w:r>
      <w:r w:rsidR="004F3434" w:rsidRPr="00403E6A">
        <w:rPr>
          <w:rFonts w:ascii="Times New Roman" w:hAnsi="Times New Roman" w:cs="Times New Roman"/>
          <w:sz w:val="24"/>
          <w:szCs w:val="24"/>
        </w:rPr>
        <w:t xml:space="preserve">f board members </w:t>
      </w:r>
      <w:r w:rsidR="0089516F">
        <w:rPr>
          <w:rFonts w:ascii="Times New Roman" w:hAnsi="Times New Roman" w:cs="Times New Roman"/>
          <w:sz w:val="24"/>
          <w:szCs w:val="24"/>
        </w:rPr>
        <w:t>we</w:t>
      </w:r>
      <w:r w:rsidR="0064285B" w:rsidRPr="00403E6A">
        <w:rPr>
          <w:rFonts w:ascii="Times New Roman" w:hAnsi="Times New Roman" w:cs="Times New Roman"/>
          <w:sz w:val="24"/>
          <w:szCs w:val="24"/>
        </w:rPr>
        <w:t>re</w:t>
      </w:r>
      <w:r w:rsidR="004F3434" w:rsidRPr="00403E6A">
        <w:rPr>
          <w:rFonts w:ascii="Times New Roman" w:hAnsi="Times New Roman" w:cs="Times New Roman"/>
          <w:sz w:val="24"/>
          <w:szCs w:val="24"/>
        </w:rPr>
        <w:t xml:space="preserve"> irrelevant</w:t>
      </w:r>
      <w:r w:rsidR="006E1347">
        <w:rPr>
          <w:rFonts w:ascii="Times New Roman" w:hAnsi="Times New Roman" w:cs="Times New Roman"/>
          <w:sz w:val="24"/>
          <w:szCs w:val="24"/>
        </w:rPr>
        <w:t>,</w:t>
      </w:r>
      <w:r w:rsidR="00B3043E">
        <w:rPr>
          <w:rStyle w:val="FootnoteReference"/>
          <w:rFonts w:ascii="Times New Roman" w:hAnsi="Times New Roman" w:cs="Times New Roman"/>
          <w:sz w:val="24"/>
          <w:szCs w:val="24"/>
        </w:rPr>
        <w:footnoteReference w:id="124"/>
      </w:r>
      <w:r w:rsidR="004F3434" w:rsidRPr="00403E6A">
        <w:rPr>
          <w:rFonts w:ascii="Times New Roman" w:hAnsi="Times New Roman" w:cs="Times New Roman"/>
          <w:sz w:val="24"/>
          <w:szCs w:val="24"/>
        </w:rPr>
        <w:t xml:space="preserve"> </w:t>
      </w:r>
      <w:r w:rsidR="006E1347">
        <w:rPr>
          <w:rFonts w:ascii="Times New Roman" w:hAnsi="Times New Roman" w:cs="Times New Roman"/>
          <w:sz w:val="24"/>
          <w:szCs w:val="24"/>
        </w:rPr>
        <w:t>and that t</w:t>
      </w:r>
      <w:r w:rsidR="00A70226" w:rsidRPr="00403E6A">
        <w:rPr>
          <w:rFonts w:ascii="Times New Roman" w:hAnsi="Times New Roman" w:cs="Times New Roman"/>
          <w:sz w:val="24"/>
          <w:szCs w:val="24"/>
        </w:rPr>
        <w:t xml:space="preserve">he </w:t>
      </w:r>
      <w:r w:rsidR="00221D02" w:rsidRPr="00403E6A">
        <w:rPr>
          <w:rFonts w:ascii="Times New Roman" w:hAnsi="Times New Roman" w:cs="Times New Roman"/>
          <w:sz w:val="24"/>
          <w:szCs w:val="24"/>
        </w:rPr>
        <w:t>proper</w:t>
      </w:r>
      <w:r w:rsidR="00A70226" w:rsidRPr="00403E6A">
        <w:rPr>
          <w:rFonts w:ascii="Times New Roman" w:hAnsi="Times New Roman" w:cs="Times New Roman"/>
          <w:sz w:val="24"/>
          <w:szCs w:val="24"/>
        </w:rPr>
        <w:t xml:space="preserve"> analysis </w:t>
      </w:r>
      <w:r w:rsidR="00221D02" w:rsidRPr="00403E6A">
        <w:rPr>
          <w:rFonts w:ascii="Times New Roman" w:hAnsi="Times New Roman" w:cs="Times New Roman"/>
          <w:sz w:val="24"/>
          <w:szCs w:val="24"/>
        </w:rPr>
        <w:t>wa</w:t>
      </w:r>
      <w:r w:rsidR="00C1577A" w:rsidRPr="00403E6A">
        <w:rPr>
          <w:rFonts w:ascii="Times New Roman" w:hAnsi="Times New Roman" w:cs="Times New Roman"/>
          <w:sz w:val="24"/>
          <w:szCs w:val="24"/>
        </w:rPr>
        <w:t xml:space="preserve">s </w:t>
      </w:r>
      <w:r w:rsidR="00A70226" w:rsidRPr="00403E6A">
        <w:rPr>
          <w:rFonts w:ascii="Times New Roman" w:hAnsi="Times New Roman" w:cs="Times New Roman"/>
          <w:sz w:val="24"/>
          <w:szCs w:val="24"/>
        </w:rPr>
        <w:t xml:space="preserve">whether </w:t>
      </w:r>
      <w:r w:rsidR="008F088E" w:rsidRPr="00403E6A">
        <w:rPr>
          <w:rFonts w:ascii="Times New Roman" w:hAnsi="Times New Roman" w:cs="Times New Roman"/>
          <w:sz w:val="24"/>
          <w:szCs w:val="24"/>
        </w:rPr>
        <w:t xml:space="preserve">members with </w:t>
      </w:r>
      <w:r w:rsidR="000735DE" w:rsidRPr="00403E6A">
        <w:rPr>
          <w:rFonts w:ascii="Times New Roman" w:hAnsi="Times New Roman" w:cs="Times New Roman"/>
          <w:sz w:val="24"/>
          <w:szCs w:val="24"/>
        </w:rPr>
        <w:t>“</w:t>
      </w:r>
      <w:r w:rsidR="008F088E" w:rsidRPr="00403E6A">
        <w:rPr>
          <w:rFonts w:ascii="Times New Roman" w:hAnsi="Times New Roman" w:cs="Times New Roman"/>
          <w:sz w:val="24"/>
          <w:szCs w:val="24"/>
        </w:rPr>
        <w:t>substantially similar economic interests</w:t>
      </w:r>
      <w:r w:rsidR="000735DE" w:rsidRPr="00403E6A">
        <w:rPr>
          <w:rFonts w:ascii="Times New Roman" w:hAnsi="Times New Roman" w:cs="Times New Roman"/>
          <w:sz w:val="24"/>
          <w:szCs w:val="24"/>
        </w:rPr>
        <w:t>”</w:t>
      </w:r>
      <w:r w:rsidR="008F088E" w:rsidRPr="00403E6A">
        <w:rPr>
          <w:rFonts w:ascii="Times New Roman" w:hAnsi="Times New Roman" w:cs="Times New Roman"/>
          <w:sz w:val="24"/>
          <w:szCs w:val="24"/>
        </w:rPr>
        <w:t xml:space="preserve"> </w:t>
      </w:r>
      <w:r w:rsidR="00A70226" w:rsidRPr="00403E6A">
        <w:rPr>
          <w:rFonts w:ascii="Times New Roman" w:hAnsi="Times New Roman" w:cs="Times New Roman"/>
          <w:sz w:val="24"/>
          <w:szCs w:val="24"/>
        </w:rPr>
        <w:t>control</w:t>
      </w:r>
      <w:r w:rsidR="000735DE" w:rsidRPr="00403E6A">
        <w:rPr>
          <w:rFonts w:ascii="Times New Roman" w:hAnsi="Times New Roman" w:cs="Times New Roman"/>
          <w:sz w:val="24"/>
          <w:szCs w:val="24"/>
        </w:rPr>
        <w:t>led</w:t>
      </w:r>
      <w:r w:rsidR="008F088E" w:rsidRPr="00403E6A">
        <w:rPr>
          <w:rFonts w:ascii="Times New Roman" w:hAnsi="Times New Roman" w:cs="Times New Roman"/>
          <w:sz w:val="24"/>
          <w:szCs w:val="24"/>
        </w:rPr>
        <w:t xml:space="preserve"> the </w:t>
      </w:r>
      <w:r w:rsidR="000735DE" w:rsidRPr="00403E6A">
        <w:rPr>
          <w:rFonts w:ascii="Times New Roman" w:hAnsi="Times New Roman" w:cs="Times New Roman"/>
          <w:sz w:val="24"/>
          <w:szCs w:val="24"/>
        </w:rPr>
        <w:t>entity</w:t>
      </w:r>
      <w:r w:rsidR="00D760CD" w:rsidRPr="00403E6A">
        <w:rPr>
          <w:rFonts w:ascii="Times New Roman" w:hAnsi="Times New Roman" w:cs="Times New Roman"/>
          <w:sz w:val="24"/>
          <w:szCs w:val="24"/>
        </w:rPr>
        <w:t>.</w:t>
      </w:r>
      <w:r w:rsidR="007F39E2">
        <w:rPr>
          <w:rStyle w:val="FootnoteReference"/>
          <w:rFonts w:ascii="Times New Roman" w:hAnsi="Times New Roman" w:cs="Times New Roman"/>
          <w:sz w:val="24"/>
          <w:szCs w:val="24"/>
        </w:rPr>
        <w:footnoteReference w:id="125"/>
      </w:r>
      <w:r w:rsidR="00D760CD" w:rsidRPr="00403E6A">
        <w:rPr>
          <w:rFonts w:ascii="Times New Roman" w:hAnsi="Times New Roman" w:cs="Times New Roman"/>
          <w:sz w:val="24"/>
          <w:szCs w:val="24"/>
        </w:rPr>
        <w:t xml:space="preserve"> </w:t>
      </w:r>
    </w:p>
    <w:p w14:paraId="6CFC20A8" w14:textId="42BD0FF4" w:rsidR="00BB0B86" w:rsidRPr="00403E6A" w:rsidRDefault="000242A9" w:rsidP="00AB2F27">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r>
      <w:r w:rsidR="00C934C5">
        <w:rPr>
          <w:rFonts w:ascii="Times New Roman" w:hAnsi="Times New Roman" w:cs="Times New Roman"/>
          <w:sz w:val="24"/>
          <w:szCs w:val="24"/>
        </w:rPr>
        <w:t>As physician networks have consolidated</w:t>
      </w:r>
      <w:r w:rsidR="00A173E4" w:rsidRPr="00403E6A">
        <w:rPr>
          <w:rFonts w:ascii="Times New Roman" w:hAnsi="Times New Roman" w:cs="Times New Roman"/>
          <w:sz w:val="24"/>
          <w:szCs w:val="24"/>
        </w:rPr>
        <w:t xml:space="preserve">, </w:t>
      </w:r>
      <w:r w:rsidR="0077583F">
        <w:rPr>
          <w:rFonts w:ascii="Times New Roman" w:hAnsi="Times New Roman" w:cs="Times New Roman"/>
          <w:sz w:val="24"/>
          <w:szCs w:val="24"/>
        </w:rPr>
        <w:t xml:space="preserve">antitrust enforcement’s </w:t>
      </w:r>
      <w:r w:rsidR="00A173E4" w:rsidRPr="00403E6A">
        <w:rPr>
          <w:rFonts w:ascii="Times New Roman" w:hAnsi="Times New Roman" w:cs="Times New Roman"/>
          <w:sz w:val="24"/>
          <w:szCs w:val="24"/>
        </w:rPr>
        <w:t>f</w:t>
      </w:r>
      <w:r w:rsidR="00AB2F27" w:rsidRPr="00403E6A">
        <w:rPr>
          <w:rFonts w:ascii="Times New Roman" w:hAnsi="Times New Roman" w:cs="Times New Roman"/>
          <w:sz w:val="24"/>
          <w:szCs w:val="24"/>
        </w:rPr>
        <w:t xml:space="preserve">ocus </w:t>
      </w:r>
      <w:r w:rsidR="0077583F">
        <w:rPr>
          <w:rFonts w:ascii="Times New Roman" w:hAnsi="Times New Roman" w:cs="Times New Roman"/>
          <w:sz w:val="24"/>
          <w:szCs w:val="24"/>
        </w:rPr>
        <w:t>has been</w:t>
      </w:r>
      <w:r w:rsidR="00287F24" w:rsidRPr="00403E6A">
        <w:rPr>
          <w:rFonts w:ascii="Times New Roman" w:hAnsi="Times New Roman" w:cs="Times New Roman"/>
          <w:sz w:val="24"/>
          <w:szCs w:val="24"/>
        </w:rPr>
        <w:t xml:space="preserve"> </w:t>
      </w:r>
      <w:r w:rsidR="00AB2F27" w:rsidRPr="00403E6A">
        <w:rPr>
          <w:rFonts w:ascii="Times New Roman" w:hAnsi="Times New Roman" w:cs="Times New Roman"/>
          <w:sz w:val="24"/>
          <w:szCs w:val="24"/>
        </w:rPr>
        <w:t xml:space="preserve">shifting to whether </w:t>
      </w:r>
      <w:r w:rsidR="009F0182">
        <w:rPr>
          <w:rFonts w:ascii="Times New Roman" w:hAnsi="Times New Roman" w:cs="Times New Roman"/>
          <w:sz w:val="24"/>
          <w:szCs w:val="24"/>
        </w:rPr>
        <w:t>clinical</w:t>
      </w:r>
      <w:r w:rsidR="00AB2F27" w:rsidRPr="00403E6A">
        <w:rPr>
          <w:rFonts w:ascii="Times New Roman" w:hAnsi="Times New Roman" w:cs="Times New Roman"/>
          <w:sz w:val="24"/>
          <w:szCs w:val="24"/>
        </w:rPr>
        <w:t xml:space="preserve"> </w:t>
      </w:r>
      <w:r w:rsidR="00A173E4" w:rsidRPr="00403E6A">
        <w:rPr>
          <w:rFonts w:ascii="Times New Roman" w:hAnsi="Times New Roman" w:cs="Times New Roman"/>
          <w:sz w:val="24"/>
          <w:szCs w:val="24"/>
        </w:rPr>
        <w:t>integration</w:t>
      </w:r>
      <w:r w:rsidR="008A3D4B" w:rsidRPr="00403E6A">
        <w:rPr>
          <w:rFonts w:ascii="Times New Roman" w:hAnsi="Times New Roman" w:cs="Times New Roman"/>
          <w:sz w:val="24"/>
          <w:szCs w:val="24"/>
        </w:rPr>
        <w:t xml:space="preserve"> has significant </w:t>
      </w:r>
      <w:r w:rsidR="00AB2F27" w:rsidRPr="00403E6A">
        <w:rPr>
          <w:rFonts w:ascii="Times New Roman" w:hAnsi="Times New Roman" w:cs="Times New Roman"/>
          <w:sz w:val="24"/>
          <w:szCs w:val="24"/>
        </w:rPr>
        <w:t>market power and is</w:t>
      </w:r>
      <w:r w:rsidR="00287F24" w:rsidRPr="00403E6A">
        <w:rPr>
          <w:rFonts w:ascii="Times New Roman" w:hAnsi="Times New Roman" w:cs="Times New Roman"/>
          <w:sz w:val="24"/>
          <w:szCs w:val="24"/>
        </w:rPr>
        <w:t xml:space="preserve"> </w:t>
      </w:r>
      <w:r w:rsidR="00AB2F27" w:rsidRPr="00403E6A">
        <w:rPr>
          <w:rFonts w:ascii="Times New Roman" w:hAnsi="Times New Roman" w:cs="Times New Roman"/>
          <w:sz w:val="24"/>
          <w:szCs w:val="24"/>
        </w:rPr>
        <w:t>anticompetitive as reflected in a rule of</w:t>
      </w:r>
      <w:r w:rsidR="00287F24" w:rsidRPr="00403E6A">
        <w:rPr>
          <w:rFonts w:ascii="Times New Roman" w:hAnsi="Times New Roman" w:cs="Times New Roman"/>
          <w:sz w:val="24"/>
          <w:szCs w:val="24"/>
        </w:rPr>
        <w:t xml:space="preserve"> </w:t>
      </w:r>
      <w:r w:rsidR="00AB2F27" w:rsidRPr="00403E6A">
        <w:rPr>
          <w:rFonts w:ascii="Times New Roman" w:hAnsi="Times New Roman" w:cs="Times New Roman"/>
          <w:sz w:val="24"/>
          <w:szCs w:val="24"/>
        </w:rPr>
        <w:t>reason analysi</w:t>
      </w:r>
      <w:r w:rsidR="00287F24" w:rsidRPr="00403E6A">
        <w:rPr>
          <w:rFonts w:ascii="Times New Roman" w:hAnsi="Times New Roman" w:cs="Times New Roman"/>
          <w:sz w:val="24"/>
          <w:szCs w:val="24"/>
        </w:rPr>
        <w:t>s.</w:t>
      </w:r>
      <w:r w:rsidR="00C9110D">
        <w:rPr>
          <w:rStyle w:val="FootnoteReference"/>
          <w:rFonts w:ascii="Times New Roman" w:hAnsi="Times New Roman" w:cs="Times New Roman"/>
          <w:sz w:val="24"/>
          <w:szCs w:val="24"/>
        </w:rPr>
        <w:footnoteReference w:id="126"/>
      </w:r>
      <w:r w:rsidR="00287F24" w:rsidRPr="00403E6A">
        <w:rPr>
          <w:rFonts w:ascii="Times New Roman" w:hAnsi="Times New Roman" w:cs="Times New Roman"/>
          <w:sz w:val="24"/>
          <w:szCs w:val="24"/>
        </w:rPr>
        <w:t xml:space="preserve"> </w:t>
      </w:r>
      <w:r w:rsidR="00D66F94" w:rsidRPr="00403E6A">
        <w:rPr>
          <w:rFonts w:ascii="Times New Roman" w:hAnsi="Times New Roman" w:cs="Times New Roman"/>
          <w:sz w:val="24"/>
          <w:szCs w:val="24"/>
        </w:rPr>
        <w:t xml:space="preserve">Challenges recently have been </w:t>
      </w:r>
      <w:r w:rsidR="00371668" w:rsidRPr="00403E6A">
        <w:rPr>
          <w:rFonts w:ascii="Times New Roman" w:hAnsi="Times New Roman" w:cs="Times New Roman"/>
          <w:sz w:val="24"/>
          <w:szCs w:val="24"/>
        </w:rPr>
        <w:t xml:space="preserve">related to physician practice mergers, </w:t>
      </w:r>
      <w:r w:rsidR="00CB6956" w:rsidRPr="00403E6A">
        <w:rPr>
          <w:rFonts w:ascii="Times New Roman" w:hAnsi="Times New Roman" w:cs="Times New Roman"/>
          <w:sz w:val="24"/>
          <w:szCs w:val="24"/>
        </w:rPr>
        <w:t xml:space="preserve">which have successfully enjoined hospitals’ ability to </w:t>
      </w:r>
      <w:r w:rsidR="00530F93" w:rsidRPr="00403E6A">
        <w:rPr>
          <w:rFonts w:ascii="Times New Roman" w:hAnsi="Times New Roman" w:cs="Times New Roman"/>
          <w:sz w:val="24"/>
          <w:szCs w:val="24"/>
        </w:rPr>
        <w:t xml:space="preserve">consolidate with </w:t>
      </w:r>
      <w:r w:rsidR="00814A12" w:rsidRPr="00403E6A">
        <w:rPr>
          <w:rFonts w:ascii="Times New Roman" w:hAnsi="Times New Roman" w:cs="Times New Roman"/>
          <w:sz w:val="24"/>
          <w:szCs w:val="24"/>
        </w:rPr>
        <w:t xml:space="preserve">vastly undiversified </w:t>
      </w:r>
      <w:r w:rsidR="00562847" w:rsidRPr="00403E6A">
        <w:rPr>
          <w:rFonts w:ascii="Times New Roman" w:hAnsi="Times New Roman" w:cs="Times New Roman"/>
          <w:sz w:val="24"/>
          <w:szCs w:val="24"/>
        </w:rPr>
        <w:t>specialty clinician</w:t>
      </w:r>
      <w:r w:rsidR="00814A12" w:rsidRPr="00403E6A">
        <w:rPr>
          <w:rFonts w:ascii="Times New Roman" w:hAnsi="Times New Roman" w:cs="Times New Roman"/>
          <w:sz w:val="24"/>
          <w:szCs w:val="24"/>
        </w:rPr>
        <w:t xml:space="preserve"> groups such as cardiologists.</w:t>
      </w:r>
      <w:r w:rsidR="002C621E">
        <w:rPr>
          <w:rStyle w:val="FootnoteReference"/>
          <w:rFonts w:ascii="Times New Roman" w:hAnsi="Times New Roman" w:cs="Times New Roman"/>
          <w:sz w:val="24"/>
          <w:szCs w:val="24"/>
        </w:rPr>
        <w:footnoteReference w:id="127"/>
      </w:r>
      <w:r w:rsidR="00814A12" w:rsidRPr="00403E6A">
        <w:rPr>
          <w:rFonts w:ascii="Times New Roman" w:hAnsi="Times New Roman" w:cs="Times New Roman"/>
          <w:sz w:val="24"/>
          <w:szCs w:val="24"/>
        </w:rPr>
        <w:t xml:space="preserve"> </w:t>
      </w:r>
      <w:r w:rsidR="00D40BF4" w:rsidRPr="00403E6A">
        <w:rPr>
          <w:rFonts w:ascii="Times New Roman" w:hAnsi="Times New Roman" w:cs="Times New Roman"/>
          <w:sz w:val="24"/>
          <w:szCs w:val="24"/>
        </w:rPr>
        <w:t xml:space="preserve">As implied above, </w:t>
      </w:r>
      <w:r w:rsidR="00814A12" w:rsidRPr="00403E6A">
        <w:rPr>
          <w:rFonts w:ascii="Times New Roman" w:hAnsi="Times New Roman" w:cs="Times New Roman"/>
          <w:sz w:val="24"/>
          <w:szCs w:val="24"/>
        </w:rPr>
        <w:t xml:space="preserve">despite some successes, </w:t>
      </w:r>
      <w:r w:rsidR="005544F0" w:rsidRPr="00403E6A">
        <w:rPr>
          <w:rFonts w:ascii="Times New Roman" w:hAnsi="Times New Roman" w:cs="Times New Roman"/>
          <w:sz w:val="24"/>
          <w:szCs w:val="24"/>
        </w:rPr>
        <w:t xml:space="preserve">this analysis is difficult to </w:t>
      </w:r>
      <w:r w:rsidR="002306DF" w:rsidRPr="00403E6A">
        <w:rPr>
          <w:rFonts w:ascii="Times New Roman" w:hAnsi="Times New Roman" w:cs="Times New Roman"/>
          <w:sz w:val="24"/>
          <w:szCs w:val="24"/>
        </w:rPr>
        <w:t xml:space="preserve">apply, given the complex relationships between providers. </w:t>
      </w:r>
      <w:r w:rsidR="00625F19">
        <w:rPr>
          <w:rStyle w:val="FootnoteReference"/>
          <w:rFonts w:ascii="Times New Roman" w:hAnsi="Times New Roman" w:cs="Times New Roman"/>
          <w:sz w:val="24"/>
          <w:szCs w:val="24"/>
        </w:rPr>
        <w:footnoteReference w:id="128"/>
      </w:r>
    </w:p>
    <w:p w14:paraId="0C02AC66" w14:textId="50E0A873" w:rsidR="00B47533" w:rsidRPr="00403E6A" w:rsidRDefault="0088001B" w:rsidP="008F2990">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r>
      <w:r w:rsidR="00C3200B" w:rsidRPr="00403E6A">
        <w:rPr>
          <w:rFonts w:ascii="Times New Roman" w:hAnsi="Times New Roman" w:cs="Times New Roman"/>
          <w:sz w:val="24"/>
          <w:szCs w:val="24"/>
        </w:rPr>
        <w:t xml:space="preserve">Antitrust </w:t>
      </w:r>
      <w:r w:rsidR="00FB459D" w:rsidRPr="00403E6A">
        <w:rPr>
          <w:rFonts w:ascii="Times New Roman" w:hAnsi="Times New Roman" w:cs="Times New Roman"/>
          <w:sz w:val="24"/>
          <w:szCs w:val="24"/>
        </w:rPr>
        <w:t>action</w:t>
      </w:r>
      <w:r w:rsidR="00C3200B" w:rsidRPr="00403E6A">
        <w:rPr>
          <w:rFonts w:ascii="Times New Roman" w:hAnsi="Times New Roman" w:cs="Times New Roman"/>
          <w:sz w:val="24"/>
          <w:szCs w:val="24"/>
        </w:rPr>
        <w:t xml:space="preserve"> towards h</w:t>
      </w:r>
      <w:r w:rsidRPr="00403E6A">
        <w:rPr>
          <w:rFonts w:ascii="Times New Roman" w:hAnsi="Times New Roman" w:cs="Times New Roman"/>
          <w:sz w:val="24"/>
          <w:szCs w:val="24"/>
        </w:rPr>
        <w:t xml:space="preserve">ospital mergers have </w:t>
      </w:r>
      <w:r w:rsidR="000735DE" w:rsidRPr="00403E6A">
        <w:rPr>
          <w:rFonts w:ascii="Times New Roman" w:hAnsi="Times New Roman" w:cs="Times New Roman"/>
          <w:sz w:val="24"/>
          <w:szCs w:val="24"/>
        </w:rPr>
        <w:t xml:space="preserve">had </w:t>
      </w:r>
      <w:r w:rsidRPr="00403E6A">
        <w:rPr>
          <w:rFonts w:ascii="Times New Roman" w:hAnsi="Times New Roman" w:cs="Times New Roman"/>
          <w:sz w:val="24"/>
          <w:szCs w:val="24"/>
        </w:rPr>
        <w:t xml:space="preserve">a similar </w:t>
      </w:r>
      <w:r w:rsidR="00C3200B" w:rsidRPr="00403E6A">
        <w:rPr>
          <w:rFonts w:ascii="Times New Roman" w:hAnsi="Times New Roman" w:cs="Times New Roman"/>
          <w:sz w:val="24"/>
          <w:szCs w:val="24"/>
        </w:rPr>
        <w:t>record of volatility</w:t>
      </w:r>
      <w:r w:rsidR="00FB459D" w:rsidRPr="00403E6A">
        <w:rPr>
          <w:rFonts w:ascii="Times New Roman" w:hAnsi="Times New Roman" w:cs="Times New Roman"/>
          <w:sz w:val="24"/>
          <w:szCs w:val="24"/>
        </w:rPr>
        <w:t xml:space="preserve"> since the 1990s.</w:t>
      </w:r>
      <w:r w:rsidR="00E60A18" w:rsidRPr="00403E6A">
        <w:rPr>
          <w:rFonts w:ascii="Times New Roman" w:hAnsi="Times New Roman" w:cs="Times New Roman"/>
          <w:sz w:val="24"/>
          <w:szCs w:val="24"/>
        </w:rPr>
        <w:t xml:space="preserve"> </w:t>
      </w:r>
      <w:r w:rsidR="00C64EFA" w:rsidRPr="00403E6A">
        <w:rPr>
          <w:rFonts w:ascii="Times New Roman" w:hAnsi="Times New Roman" w:cs="Times New Roman"/>
          <w:sz w:val="24"/>
          <w:szCs w:val="24"/>
        </w:rPr>
        <w:t xml:space="preserve">After initially winning several </w:t>
      </w:r>
      <w:r w:rsidR="008205F1" w:rsidRPr="00403E6A">
        <w:rPr>
          <w:rFonts w:ascii="Times New Roman" w:hAnsi="Times New Roman" w:cs="Times New Roman"/>
          <w:sz w:val="24"/>
          <w:szCs w:val="24"/>
        </w:rPr>
        <w:t>federal law</w:t>
      </w:r>
      <w:r w:rsidR="00C64EFA" w:rsidRPr="00403E6A">
        <w:rPr>
          <w:rFonts w:ascii="Times New Roman" w:hAnsi="Times New Roman" w:cs="Times New Roman"/>
          <w:sz w:val="24"/>
          <w:szCs w:val="24"/>
        </w:rPr>
        <w:t xml:space="preserve">suits in the 1980s and early 1990s, antitrust enforcers suffered seven </w:t>
      </w:r>
      <w:r w:rsidR="00391475" w:rsidRPr="00403E6A">
        <w:rPr>
          <w:rFonts w:ascii="Times New Roman" w:hAnsi="Times New Roman" w:cs="Times New Roman"/>
          <w:sz w:val="24"/>
          <w:szCs w:val="24"/>
        </w:rPr>
        <w:t xml:space="preserve">losses </w:t>
      </w:r>
      <w:r w:rsidR="00C64EFA" w:rsidRPr="00403E6A">
        <w:rPr>
          <w:rFonts w:ascii="Times New Roman" w:hAnsi="Times New Roman" w:cs="Times New Roman"/>
          <w:sz w:val="24"/>
          <w:szCs w:val="24"/>
        </w:rPr>
        <w:t>in litigating hospital merger cases.</w:t>
      </w:r>
      <w:r w:rsidR="00AD3ECD">
        <w:rPr>
          <w:rStyle w:val="FootnoteReference"/>
          <w:rFonts w:ascii="Times New Roman" w:hAnsi="Times New Roman" w:cs="Times New Roman"/>
          <w:sz w:val="24"/>
          <w:szCs w:val="24"/>
        </w:rPr>
        <w:footnoteReference w:id="129"/>
      </w:r>
      <w:r w:rsidR="00C64EFA" w:rsidRPr="00403E6A">
        <w:rPr>
          <w:rFonts w:ascii="Times New Roman" w:hAnsi="Times New Roman" w:cs="Times New Roman"/>
          <w:sz w:val="24"/>
          <w:szCs w:val="24"/>
        </w:rPr>
        <w:t xml:space="preserve"> </w:t>
      </w:r>
      <w:r w:rsidR="000069CC">
        <w:rPr>
          <w:rFonts w:ascii="Times New Roman" w:hAnsi="Times New Roman" w:cs="Times New Roman"/>
          <w:sz w:val="24"/>
          <w:szCs w:val="24"/>
        </w:rPr>
        <w:t xml:space="preserve">According to </w:t>
      </w:r>
      <w:r w:rsidR="00E23614">
        <w:rPr>
          <w:rFonts w:ascii="Times New Roman" w:hAnsi="Times New Roman" w:cs="Times New Roman"/>
          <w:sz w:val="24"/>
          <w:szCs w:val="24"/>
        </w:rPr>
        <w:t>Greaney, t</w:t>
      </w:r>
      <w:r w:rsidR="00391475" w:rsidRPr="00403E6A">
        <w:rPr>
          <w:rFonts w:ascii="Times New Roman" w:hAnsi="Times New Roman" w:cs="Times New Roman"/>
          <w:sz w:val="24"/>
          <w:szCs w:val="24"/>
        </w:rPr>
        <w:t xml:space="preserve">his led to a </w:t>
      </w:r>
      <w:r w:rsidR="00A8658F" w:rsidRPr="00403E6A">
        <w:rPr>
          <w:rFonts w:ascii="Times New Roman" w:hAnsi="Times New Roman" w:cs="Times New Roman"/>
          <w:sz w:val="24"/>
          <w:szCs w:val="24"/>
        </w:rPr>
        <w:t>distinct, seven-year pullback in antitrust activity towards hospital mergers despite their accelerated growth during this time.</w:t>
      </w:r>
      <w:r w:rsidR="000667FC">
        <w:rPr>
          <w:rStyle w:val="FootnoteReference"/>
          <w:rFonts w:ascii="Times New Roman" w:hAnsi="Times New Roman" w:cs="Times New Roman"/>
          <w:sz w:val="24"/>
          <w:szCs w:val="24"/>
        </w:rPr>
        <w:footnoteReference w:id="130"/>
      </w:r>
      <w:r w:rsidR="00A8658F" w:rsidRPr="00403E6A">
        <w:rPr>
          <w:rFonts w:ascii="Times New Roman" w:hAnsi="Times New Roman" w:cs="Times New Roman"/>
          <w:sz w:val="24"/>
          <w:szCs w:val="24"/>
        </w:rPr>
        <w:t xml:space="preserve"> </w:t>
      </w:r>
      <w:r w:rsidR="00C64EFA" w:rsidRPr="00403E6A">
        <w:rPr>
          <w:rFonts w:ascii="Times New Roman" w:hAnsi="Times New Roman" w:cs="Times New Roman"/>
          <w:sz w:val="24"/>
          <w:szCs w:val="24"/>
        </w:rPr>
        <w:t xml:space="preserve">As mergers went </w:t>
      </w:r>
      <w:r w:rsidR="00C86974" w:rsidRPr="00403E6A">
        <w:rPr>
          <w:rFonts w:ascii="Times New Roman" w:hAnsi="Times New Roman" w:cs="Times New Roman"/>
          <w:sz w:val="24"/>
          <w:szCs w:val="24"/>
        </w:rPr>
        <w:t>unabated</w:t>
      </w:r>
      <w:r w:rsidR="00C64EFA" w:rsidRPr="00403E6A">
        <w:rPr>
          <w:rFonts w:ascii="Times New Roman" w:hAnsi="Times New Roman" w:cs="Times New Roman"/>
          <w:sz w:val="24"/>
          <w:szCs w:val="24"/>
        </w:rPr>
        <w:t xml:space="preserve">, </w:t>
      </w:r>
      <w:r w:rsidR="00EA5B4B" w:rsidRPr="00403E6A">
        <w:rPr>
          <w:rFonts w:ascii="Times New Roman" w:hAnsi="Times New Roman" w:cs="Times New Roman"/>
          <w:sz w:val="24"/>
          <w:szCs w:val="24"/>
        </w:rPr>
        <w:t xml:space="preserve">powerful </w:t>
      </w:r>
      <w:r w:rsidR="00377AC4" w:rsidRPr="00403E6A">
        <w:rPr>
          <w:rFonts w:ascii="Times New Roman" w:hAnsi="Times New Roman" w:cs="Times New Roman"/>
          <w:sz w:val="24"/>
          <w:szCs w:val="24"/>
        </w:rPr>
        <w:t>hospital</w:t>
      </w:r>
      <w:r w:rsidR="00EA5B4B" w:rsidRPr="00403E6A">
        <w:rPr>
          <w:rFonts w:ascii="Times New Roman" w:hAnsi="Times New Roman" w:cs="Times New Roman"/>
          <w:sz w:val="24"/>
          <w:szCs w:val="24"/>
        </w:rPr>
        <w:t xml:space="preserve"> networks</w:t>
      </w:r>
      <w:r w:rsidR="00377AC4" w:rsidRPr="00403E6A">
        <w:rPr>
          <w:rFonts w:ascii="Times New Roman" w:hAnsi="Times New Roman" w:cs="Times New Roman"/>
          <w:sz w:val="24"/>
          <w:szCs w:val="24"/>
        </w:rPr>
        <w:t xml:space="preserve"> continued to </w:t>
      </w:r>
      <w:r w:rsidR="00EA5B4B" w:rsidRPr="00403E6A">
        <w:rPr>
          <w:rFonts w:ascii="Times New Roman" w:hAnsi="Times New Roman" w:cs="Times New Roman"/>
          <w:sz w:val="24"/>
          <w:szCs w:val="24"/>
        </w:rPr>
        <w:t>expand</w:t>
      </w:r>
      <w:r w:rsidR="00377AC4" w:rsidRPr="00403E6A">
        <w:rPr>
          <w:rFonts w:ascii="Times New Roman" w:hAnsi="Times New Roman" w:cs="Times New Roman"/>
          <w:sz w:val="24"/>
          <w:szCs w:val="24"/>
        </w:rPr>
        <w:t xml:space="preserve"> </w:t>
      </w:r>
      <w:r w:rsidR="00FB2F48" w:rsidRPr="00403E6A">
        <w:rPr>
          <w:rFonts w:ascii="Times New Roman" w:hAnsi="Times New Roman" w:cs="Times New Roman"/>
          <w:sz w:val="24"/>
          <w:szCs w:val="24"/>
        </w:rPr>
        <w:t>their</w:t>
      </w:r>
      <w:r w:rsidR="00EA5B4B" w:rsidRPr="00403E6A">
        <w:rPr>
          <w:rFonts w:ascii="Times New Roman" w:hAnsi="Times New Roman" w:cs="Times New Roman"/>
          <w:sz w:val="24"/>
          <w:szCs w:val="24"/>
        </w:rPr>
        <w:t xml:space="preserve"> </w:t>
      </w:r>
      <w:r w:rsidR="00377AC4" w:rsidRPr="00403E6A">
        <w:rPr>
          <w:rFonts w:ascii="Times New Roman" w:hAnsi="Times New Roman" w:cs="Times New Roman"/>
          <w:sz w:val="24"/>
          <w:szCs w:val="24"/>
        </w:rPr>
        <w:t xml:space="preserve">market </w:t>
      </w:r>
      <w:r w:rsidR="00EA5B4B" w:rsidRPr="00403E6A">
        <w:rPr>
          <w:rFonts w:ascii="Times New Roman" w:hAnsi="Times New Roman" w:cs="Times New Roman"/>
          <w:sz w:val="24"/>
          <w:szCs w:val="24"/>
        </w:rPr>
        <w:t>share.</w:t>
      </w:r>
      <w:r w:rsidR="00BD2997" w:rsidRPr="00403E6A">
        <w:rPr>
          <w:rFonts w:ascii="Times New Roman" w:hAnsi="Times New Roman" w:cs="Times New Roman"/>
          <w:sz w:val="24"/>
          <w:szCs w:val="24"/>
        </w:rPr>
        <w:t xml:space="preserve"> </w:t>
      </w:r>
      <w:r w:rsidR="00FA7614" w:rsidRPr="00403E6A">
        <w:rPr>
          <w:rFonts w:ascii="Times New Roman" w:hAnsi="Times New Roman" w:cs="Times New Roman"/>
          <w:sz w:val="24"/>
          <w:szCs w:val="24"/>
        </w:rPr>
        <w:t xml:space="preserve">According to </w:t>
      </w:r>
      <w:r w:rsidR="00A21C7C" w:rsidRPr="00403E6A">
        <w:rPr>
          <w:rFonts w:ascii="Times New Roman" w:hAnsi="Times New Roman" w:cs="Times New Roman"/>
          <w:sz w:val="24"/>
          <w:szCs w:val="24"/>
        </w:rPr>
        <w:t xml:space="preserve">a </w:t>
      </w:r>
      <w:r w:rsidR="00637321" w:rsidRPr="00403E6A">
        <w:rPr>
          <w:rFonts w:ascii="Times New Roman" w:hAnsi="Times New Roman" w:cs="Times New Roman"/>
          <w:sz w:val="24"/>
          <w:szCs w:val="24"/>
        </w:rPr>
        <w:t>study</w:t>
      </w:r>
      <w:r w:rsidR="00873CB9" w:rsidRPr="00403E6A">
        <w:rPr>
          <w:rFonts w:ascii="Times New Roman" w:hAnsi="Times New Roman" w:cs="Times New Roman"/>
          <w:sz w:val="24"/>
          <w:szCs w:val="24"/>
        </w:rPr>
        <w:t xml:space="preserve">, </w:t>
      </w:r>
      <w:r w:rsidR="00F43E59" w:rsidRPr="00403E6A">
        <w:rPr>
          <w:rFonts w:ascii="Times New Roman" w:hAnsi="Times New Roman" w:cs="Times New Roman"/>
          <w:sz w:val="24"/>
          <w:szCs w:val="24"/>
        </w:rPr>
        <w:t>sixty-five</w:t>
      </w:r>
      <w:r w:rsidR="00BD2997" w:rsidRPr="00403E6A">
        <w:rPr>
          <w:rFonts w:ascii="Times New Roman" w:hAnsi="Times New Roman" w:cs="Times New Roman"/>
          <w:sz w:val="24"/>
          <w:szCs w:val="24"/>
        </w:rPr>
        <w:t xml:space="preserve"> percent of Metropolitan Statistical Areas (MSAs) had highly concentrated hospital markets in 1990, and </w:t>
      </w:r>
      <w:r w:rsidR="00031B6E" w:rsidRPr="00403E6A">
        <w:rPr>
          <w:rFonts w:ascii="Times New Roman" w:hAnsi="Times New Roman" w:cs="Times New Roman"/>
          <w:sz w:val="24"/>
          <w:szCs w:val="24"/>
        </w:rPr>
        <w:t xml:space="preserve">seventy-seven </w:t>
      </w:r>
      <w:r w:rsidR="00BD2997" w:rsidRPr="00403E6A">
        <w:rPr>
          <w:rFonts w:ascii="Times New Roman" w:hAnsi="Times New Roman" w:cs="Times New Roman"/>
          <w:sz w:val="24"/>
          <w:szCs w:val="24"/>
        </w:rPr>
        <w:t xml:space="preserve">percent </w:t>
      </w:r>
      <w:r w:rsidR="00637321" w:rsidRPr="00403E6A">
        <w:rPr>
          <w:rFonts w:ascii="Times New Roman" w:hAnsi="Times New Roman" w:cs="Times New Roman"/>
          <w:sz w:val="24"/>
          <w:szCs w:val="24"/>
        </w:rPr>
        <w:t xml:space="preserve">in </w:t>
      </w:r>
      <w:r w:rsidR="00BD2997" w:rsidRPr="00403E6A">
        <w:rPr>
          <w:rFonts w:ascii="Times New Roman" w:hAnsi="Times New Roman" w:cs="Times New Roman"/>
          <w:sz w:val="24"/>
          <w:szCs w:val="24"/>
        </w:rPr>
        <w:t>2006.</w:t>
      </w:r>
      <w:r w:rsidR="004F611A">
        <w:rPr>
          <w:rStyle w:val="FootnoteReference"/>
          <w:rFonts w:ascii="Times New Roman" w:hAnsi="Times New Roman" w:cs="Times New Roman"/>
          <w:sz w:val="24"/>
          <w:szCs w:val="24"/>
        </w:rPr>
        <w:footnoteReference w:id="131"/>
      </w:r>
      <w:r w:rsidR="00BD2997" w:rsidRPr="00403E6A">
        <w:rPr>
          <w:rFonts w:ascii="Times New Roman" w:hAnsi="Times New Roman" w:cs="Times New Roman"/>
          <w:sz w:val="24"/>
          <w:szCs w:val="24"/>
        </w:rPr>
        <w:t xml:space="preserve"> </w:t>
      </w:r>
      <w:r w:rsidR="005F2DD3" w:rsidRPr="00403E6A">
        <w:rPr>
          <w:rFonts w:ascii="Times New Roman" w:hAnsi="Times New Roman" w:cs="Times New Roman"/>
          <w:sz w:val="24"/>
          <w:szCs w:val="24"/>
        </w:rPr>
        <w:t xml:space="preserve">In 2016, that number had reached </w:t>
      </w:r>
      <w:r w:rsidR="00031B6E" w:rsidRPr="00403E6A">
        <w:rPr>
          <w:rFonts w:ascii="Times New Roman" w:hAnsi="Times New Roman" w:cs="Times New Roman"/>
          <w:sz w:val="24"/>
          <w:szCs w:val="24"/>
        </w:rPr>
        <w:t>ninety</w:t>
      </w:r>
      <w:r w:rsidR="005F2DD3" w:rsidRPr="00403E6A">
        <w:rPr>
          <w:rFonts w:ascii="Times New Roman" w:hAnsi="Times New Roman" w:cs="Times New Roman"/>
          <w:sz w:val="24"/>
          <w:szCs w:val="24"/>
        </w:rPr>
        <w:t xml:space="preserve"> percent.</w:t>
      </w:r>
      <w:r w:rsidR="00FF2EB6">
        <w:rPr>
          <w:rStyle w:val="FootnoteReference"/>
          <w:rFonts w:ascii="Times New Roman" w:hAnsi="Times New Roman" w:cs="Times New Roman"/>
          <w:sz w:val="24"/>
          <w:szCs w:val="24"/>
        </w:rPr>
        <w:footnoteReference w:id="132"/>
      </w:r>
      <w:r w:rsidR="005F2DD3" w:rsidRPr="00403E6A">
        <w:rPr>
          <w:rFonts w:ascii="Times New Roman" w:hAnsi="Times New Roman" w:cs="Times New Roman"/>
          <w:sz w:val="24"/>
          <w:szCs w:val="24"/>
        </w:rPr>
        <w:t xml:space="preserve"> </w:t>
      </w:r>
      <w:r w:rsidR="0053337C" w:rsidRPr="00403E6A">
        <w:rPr>
          <w:rFonts w:ascii="Times New Roman" w:hAnsi="Times New Roman" w:cs="Times New Roman"/>
          <w:sz w:val="24"/>
          <w:szCs w:val="24"/>
        </w:rPr>
        <w:t xml:space="preserve">Despite research that </w:t>
      </w:r>
      <w:r w:rsidR="0053337C" w:rsidRPr="00403E6A">
        <w:rPr>
          <w:rFonts w:ascii="Times New Roman" w:hAnsi="Times New Roman" w:cs="Times New Roman"/>
          <w:sz w:val="24"/>
          <w:szCs w:val="24"/>
        </w:rPr>
        <w:lastRenderedPageBreak/>
        <w:t>suggests otherwise, t</w:t>
      </w:r>
      <w:r w:rsidR="002135A3" w:rsidRPr="00403E6A">
        <w:rPr>
          <w:rFonts w:ascii="Times New Roman" w:hAnsi="Times New Roman" w:cs="Times New Roman"/>
          <w:sz w:val="24"/>
          <w:szCs w:val="24"/>
        </w:rPr>
        <w:t xml:space="preserve">he </w:t>
      </w:r>
      <w:r w:rsidR="00426C94" w:rsidRPr="00403E6A">
        <w:rPr>
          <w:rFonts w:ascii="Times New Roman" w:hAnsi="Times New Roman" w:cs="Times New Roman"/>
          <w:sz w:val="24"/>
          <w:szCs w:val="24"/>
        </w:rPr>
        <w:t xml:space="preserve">notion that vertical integration </w:t>
      </w:r>
      <w:r w:rsidR="0053337C" w:rsidRPr="00403E6A">
        <w:rPr>
          <w:rFonts w:ascii="Times New Roman" w:hAnsi="Times New Roman" w:cs="Times New Roman"/>
          <w:sz w:val="24"/>
          <w:szCs w:val="24"/>
        </w:rPr>
        <w:t xml:space="preserve">is pro-competition has contributed to </w:t>
      </w:r>
      <w:r w:rsidR="002135A3" w:rsidRPr="00403E6A">
        <w:rPr>
          <w:rFonts w:ascii="Times New Roman" w:hAnsi="Times New Roman" w:cs="Times New Roman"/>
          <w:sz w:val="24"/>
          <w:szCs w:val="24"/>
        </w:rPr>
        <w:t xml:space="preserve">this pullback in </w:t>
      </w:r>
      <w:r w:rsidR="00F72F72" w:rsidRPr="00403E6A">
        <w:rPr>
          <w:rFonts w:ascii="Times New Roman" w:hAnsi="Times New Roman" w:cs="Times New Roman"/>
          <w:sz w:val="24"/>
          <w:szCs w:val="24"/>
        </w:rPr>
        <w:t>antitrust enforcement</w:t>
      </w:r>
      <w:r w:rsidR="00601379" w:rsidRPr="00403E6A">
        <w:rPr>
          <w:rFonts w:ascii="Times New Roman" w:hAnsi="Times New Roman" w:cs="Times New Roman"/>
          <w:sz w:val="24"/>
          <w:szCs w:val="24"/>
        </w:rPr>
        <w:t>.</w:t>
      </w:r>
      <w:r w:rsidR="00283C80">
        <w:rPr>
          <w:rStyle w:val="FootnoteReference"/>
          <w:rFonts w:ascii="Times New Roman" w:hAnsi="Times New Roman" w:cs="Times New Roman"/>
          <w:sz w:val="24"/>
          <w:szCs w:val="24"/>
        </w:rPr>
        <w:footnoteReference w:id="133"/>
      </w:r>
      <w:r w:rsidR="00601379" w:rsidRPr="00403E6A">
        <w:rPr>
          <w:rFonts w:ascii="Times New Roman" w:hAnsi="Times New Roman" w:cs="Times New Roman"/>
          <w:sz w:val="24"/>
          <w:szCs w:val="24"/>
        </w:rPr>
        <w:t xml:space="preserve"> </w:t>
      </w:r>
      <w:r w:rsidR="006B2735" w:rsidRPr="00403E6A">
        <w:rPr>
          <w:rFonts w:ascii="Times New Roman" w:hAnsi="Times New Roman" w:cs="Times New Roman"/>
          <w:sz w:val="24"/>
          <w:szCs w:val="24"/>
        </w:rPr>
        <w:t xml:space="preserve">Moreover, judicial mistakes </w:t>
      </w:r>
      <w:r w:rsidR="004902CA" w:rsidRPr="00403E6A">
        <w:rPr>
          <w:rFonts w:ascii="Times New Roman" w:hAnsi="Times New Roman" w:cs="Times New Roman"/>
          <w:sz w:val="24"/>
          <w:szCs w:val="24"/>
        </w:rPr>
        <w:t xml:space="preserve">pertaining to geographic market definitions </w:t>
      </w:r>
      <w:r w:rsidR="00F563C5" w:rsidRPr="00403E6A">
        <w:rPr>
          <w:rFonts w:ascii="Times New Roman" w:hAnsi="Times New Roman" w:cs="Times New Roman"/>
          <w:sz w:val="24"/>
          <w:szCs w:val="24"/>
        </w:rPr>
        <w:t xml:space="preserve">enabled </w:t>
      </w:r>
      <w:r w:rsidR="008F2990" w:rsidRPr="00403E6A">
        <w:rPr>
          <w:rFonts w:ascii="Times New Roman" w:hAnsi="Times New Roman" w:cs="Times New Roman"/>
          <w:sz w:val="24"/>
          <w:szCs w:val="24"/>
        </w:rPr>
        <w:t>hospitals to consolidate.</w:t>
      </w:r>
      <w:r w:rsidR="00AA44DE">
        <w:rPr>
          <w:rStyle w:val="FootnoteReference"/>
          <w:rFonts w:ascii="Times New Roman" w:hAnsi="Times New Roman" w:cs="Times New Roman"/>
          <w:sz w:val="24"/>
          <w:szCs w:val="24"/>
        </w:rPr>
        <w:footnoteReference w:id="134"/>
      </w:r>
      <w:r w:rsidR="008F2990" w:rsidRPr="00403E6A">
        <w:rPr>
          <w:rFonts w:ascii="Times New Roman" w:hAnsi="Times New Roman" w:cs="Times New Roman"/>
          <w:sz w:val="24"/>
          <w:szCs w:val="24"/>
        </w:rPr>
        <w:t xml:space="preserve"> </w:t>
      </w:r>
    </w:p>
    <w:p w14:paraId="5076CAB6" w14:textId="4EB4A759" w:rsidR="00ED4E15" w:rsidRPr="00403E6A" w:rsidRDefault="00B47533" w:rsidP="00D61E1C">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r>
      <w:r w:rsidR="006B289A" w:rsidRPr="00403E6A">
        <w:rPr>
          <w:rFonts w:ascii="Times New Roman" w:hAnsi="Times New Roman" w:cs="Times New Roman"/>
          <w:sz w:val="24"/>
          <w:szCs w:val="24"/>
        </w:rPr>
        <w:t xml:space="preserve">There is an adage that bad facts make bad law. </w:t>
      </w:r>
      <w:r w:rsidR="00D02EB6" w:rsidRPr="00403E6A">
        <w:rPr>
          <w:rFonts w:ascii="Times New Roman" w:hAnsi="Times New Roman" w:cs="Times New Roman"/>
          <w:sz w:val="24"/>
          <w:szCs w:val="24"/>
        </w:rPr>
        <w:t xml:space="preserve">This was the case </w:t>
      </w:r>
      <w:r w:rsidR="006F0E49" w:rsidRPr="00403E6A">
        <w:rPr>
          <w:rFonts w:ascii="Times New Roman" w:hAnsi="Times New Roman" w:cs="Times New Roman"/>
          <w:sz w:val="24"/>
          <w:szCs w:val="24"/>
        </w:rPr>
        <w:t>in 1990, when t</w:t>
      </w:r>
      <w:r w:rsidR="00EB154C" w:rsidRPr="00403E6A">
        <w:rPr>
          <w:rFonts w:ascii="Times New Roman" w:hAnsi="Times New Roman" w:cs="Times New Roman"/>
          <w:sz w:val="24"/>
          <w:szCs w:val="24"/>
        </w:rPr>
        <w:t xml:space="preserve">he success of </w:t>
      </w:r>
      <w:r w:rsidR="00D43E6F" w:rsidRPr="00403E6A">
        <w:rPr>
          <w:rFonts w:ascii="Times New Roman" w:hAnsi="Times New Roman" w:cs="Times New Roman"/>
          <w:sz w:val="24"/>
          <w:szCs w:val="24"/>
        </w:rPr>
        <w:t xml:space="preserve">the government in hospital merger cases turned on the precedent set in </w:t>
      </w:r>
      <w:r w:rsidR="00D43E6F" w:rsidRPr="00403E6A">
        <w:rPr>
          <w:rFonts w:ascii="Times New Roman" w:hAnsi="Times New Roman" w:cs="Times New Roman"/>
          <w:i/>
          <w:iCs/>
          <w:sz w:val="24"/>
          <w:szCs w:val="24"/>
        </w:rPr>
        <w:t>U.S. v. Rockford Memorial</w:t>
      </w:r>
      <w:r w:rsidR="0010480D" w:rsidRPr="00403E6A">
        <w:rPr>
          <w:rFonts w:ascii="Times New Roman" w:hAnsi="Times New Roman" w:cs="Times New Roman"/>
          <w:i/>
          <w:iCs/>
          <w:sz w:val="24"/>
          <w:szCs w:val="24"/>
        </w:rPr>
        <w:t xml:space="preserve"> Corp</w:t>
      </w:r>
      <w:r w:rsidR="00D43E6F" w:rsidRPr="00403E6A">
        <w:rPr>
          <w:rFonts w:ascii="Times New Roman" w:hAnsi="Times New Roman" w:cs="Times New Roman"/>
          <w:sz w:val="24"/>
          <w:szCs w:val="24"/>
        </w:rPr>
        <w:t xml:space="preserve">. </w:t>
      </w:r>
      <w:r w:rsidR="00B61E81" w:rsidRPr="00403E6A">
        <w:rPr>
          <w:rFonts w:ascii="Times New Roman" w:hAnsi="Times New Roman" w:cs="Times New Roman"/>
          <w:sz w:val="24"/>
          <w:szCs w:val="24"/>
        </w:rPr>
        <w:t xml:space="preserve"> </w:t>
      </w:r>
      <w:r w:rsidR="00251FC9" w:rsidRPr="00403E6A">
        <w:rPr>
          <w:rFonts w:ascii="Times New Roman" w:hAnsi="Times New Roman" w:cs="Times New Roman"/>
          <w:sz w:val="24"/>
          <w:szCs w:val="24"/>
        </w:rPr>
        <w:t xml:space="preserve">In </w:t>
      </w:r>
      <w:r w:rsidR="00251FC9" w:rsidRPr="00403E6A">
        <w:rPr>
          <w:rFonts w:ascii="Times New Roman" w:hAnsi="Times New Roman" w:cs="Times New Roman"/>
          <w:i/>
          <w:iCs/>
          <w:sz w:val="24"/>
          <w:szCs w:val="24"/>
        </w:rPr>
        <w:t>Rockford</w:t>
      </w:r>
      <w:r w:rsidR="00251FC9" w:rsidRPr="00403E6A">
        <w:rPr>
          <w:rFonts w:ascii="Times New Roman" w:hAnsi="Times New Roman" w:cs="Times New Roman"/>
          <w:sz w:val="24"/>
          <w:szCs w:val="24"/>
        </w:rPr>
        <w:t xml:space="preserve">, </w:t>
      </w:r>
      <w:r w:rsidR="0010480D" w:rsidRPr="00403E6A">
        <w:rPr>
          <w:rFonts w:ascii="Times New Roman" w:hAnsi="Times New Roman" w:cs="Times New Roman"/>
          <w:sz w:val="24"/>
          <w:szCs w:val="24"/>
        </w:rPr>
        <w:t>the issue of market definition turned on the results of</w:t>
      </w:r>
      <w:r w:rsidR="0040302F" w:rsidRPr="00403E6A">
        <w:rPr>
          <w:rFonts w:ascii="Times New Roman" w:hAnsi="Times New Roman" w:cs="Times New Roman"/>
          <w:sz w:val="24"/>
          <w:szCs w:val="24"/>
        </w:rPr>
        <w:t xml:space="preserve"> a</w:t>
      </w:r>
      <w:r w:rsidR="0010480D" w:rsidRPr="00403E6A">
        <w:rPr>
          <w:rFonts w:ascii="Times New Roman" w:hAnsi="Times New Roman" w:cs="Times New Roman"/>
          <w:sz w:val="24"/>
          <w:szCs w:val="24"/>
        </w:rPr>
        <w:t xml:space="preserve"> “patient flow analysis.”</w:t>
      </w:r>
      <w:r w:rsidR="000F6E79">
        <w:rPr>
          <w:rStyle w:val="FootnoteReference"/>
          <w:rFonts w:ascii="Times New Roman" w:hAnsi="Times New Roman" w:cs="Times New Roman"/>
          <w:sz w:val="24"/>
          <w:szCs w:val="24"/>
        </w:rPr>
        <w:footnoteReference w:id="135"/>
      </w:r>
      <w:r w:rsidR="0010480D" w:rsidRPr="00403E6A">
        <w:rPr>
          <w:rFonts w:ascii="Times New Roman" w:hAnsi="Times New Roman" w:cs="Times New Roman"/>
          <w:sz w:val="24"/>
          <w:szCs w:val="24"/>
        </w:rPr>
        <w:t xml:space="preserve"> </w:t>
      </w:r>
      <w:r w:rsidR="002711DB" w:rsidRPr="00403E6A">
        <w:rPr>
          <w:rFonts w:ascii="Times New Roman" w:hAnsi="Times New Roman" w:cs="Times New Roman"/>
          <w:sz w:val="24"/>
          <w:szCs w:val="24"/>
        </w:rPr>
        <w:t xml:space="preserve">This analysis was based on </w:t>
      </w:r>
      <w:r w:rsidR="00C8269B" w:rsidRPr="00403E6A">
        <w:rPr>
          <w:rFonts w:ascii="Times New Roman" w:hAnsi="Times New Roman" w:cs="Times New Roman"/>
          <w:sz w:val="24"/>
          <w:szCs w:val="24"/>
        </w:rPr>
        <w:t xml:space="preserve">a </w:t>
      </w:r>
      <w:r w:rsidR="00B81059">
        <w:rPr>
          <w:rFonts w:ascii="Times New Roman" w:hAnsi="Times New Roman" w:cs="Times New Roman"/>
          <w:sz w:val="24"/>
          <w:szCs w:val="24"/>
        </w:rPr>
        <w:t xml:space="preserve">precedent case </w:t>
      </w:r>
      <w:r w:rsidR="004C4C42">
        <w:rPr>
          <w:rFonts w:ascii="Times New Roman" w:hAnsi="Times New Roman" w:cs="Times New Roman"/>
          <w:sz w:val="24"/>
          <w:szCs w:val="24"/>
        </w:rPr>
        <w:t xml:space="preserve">and a </w:t>
      </w:r>
      <w:r w:rsidR="003F44FD">
        <w:rPr>
          <w:rFonts w:ascii="Times New Roman" w:hAnsi="Times New Roman" w:cs="Times New Roman"/>
          <w:sz w:val="24"/>
          <w:szCs w:val="24"/>
        </w:rPr>
        <w:t xml:space="preserve">contrasting study </w:t>
      </w:r>
      <w:r w:rsidR="00B81059">
        <w:rPr>
          <w:rFonts w:ascii="Times New Roman" w:hAnsi="Times New Roman" w:cs="Times New Roman"/>
          <w:sz w:val="24"/>
          <w:szCs w:val="24"/>
        </w:rPr>
        <w:t xml:space="preserve">pertaining to </w:t>
      </w:r>
      <w:r w:rsidR="00C8269B" w:rsidRPr="00403E6A">
        <w:rPr>
          <w:rFonts w:ascii="Times New Roman" w:hAnsi="Times New Roman" w:cs="Times New Roman"/>
          <w:sz w:val="24"/>
          <w:szCs w:val="24"/>
        </w:rPr>
        <w:t>coal markets</w:t>
      </w:r>
      <w:r w:rsidR="001506BB" w:rsidRPr="00403E6A">
        <w:rPr>
          <w:rFonts w:ascii="Times New Roman" w:hAnsi="Times New Roman" w:cs="Times New Roman"/>
          <w:sz w:val="24"/>
          <w:szCs w:val="24"/>
        </w:rPr>
        <w:t xml:space="preserve">, which measured the extent of patient </w:t>
      </w:r>
      <w:r w:rsidR="00FD1FC0" w:rsidRPr="00403E6A">
        <w:rPr>
          <w:rFonts w:ascii="Times New Roman" w:hAnsi="Times New Roman" w:cs="Times New Roman"/>
          <w:sz w:val="24"/>
          <w:szCs w:val="24"/>
        </w:rPr>
        <w:t>ingress and egress</w:t>
      </w:r>
      <w:r w:rsidR="001506BB" w:rsidRPr="00403E6A">
        <w:rPr>
          <w:rFonts w:ascii="Times New Roman" w:hAnsi="Times New Roman" w:cs="Times New Roman"/>
          <w:sz w:val="24"/>
          <w:szCs w:val="24"/>
        </w:rPr>
        <w:t xml:space="preserve"> from a proposed geographic market.</w:t>
      </w:r>
      <w:r w:rsidR="00875B63">
        <w:rPr>
          <w:rStyle w:val="FootnoteReference"/>
          <w:rFonts w:ascii="Times New Roman" w:hAnsi="Times New Roman" w:cs="Times New Roman"/>
          <w:sz w:val="24"/>
          <w:szCs w:val="24"/>
        </w:rPr>
        <w:footnoteReference w:id="136"/>
      </w:r>
      <w:r w:rsidR="001506BB" w:rsidRPr="00403E6A">
        <w:rPr>
          <w:rFonts w:ascii="Times New Roman" w:hAnsi="Times New Roman" w:cs="Times New Roman"/>
          <w:sz w:val="24"/>
          <w:szCs w:val="24"/>
        </w:rPr>
        <w:t xml:space="preserve"> </w:t>
      </w:r>
      <w:r w:rsidR="00FD7382" w:rsidRPr="00403E6A">
        <w:rPr>
          <w:rFonts w:ascii="Times New Roman" w:hAnsi="Times New Roman" w:cs="Times New Roman"/>
          <w:sz w:val="24"/>
          <w:szCs w:val="24"/>
        </w:rPr>
        <w:t xml:space="preserve">According to </w:t>
      </w:r>
      <w:r w:rsidR="00877588" w:rsidRPr="00403E6A">
        <w:rPr>
          <w:rFonts w:ascii="Times New Roman" w:hAnsi="Times New Roman" w:cs="Times New Roman"/>
          <w:sz w:val="24"/>
          <w:szCs w:val="24"/>
        </w:rPr>
        <w:t>economists Dave Dranove and Andrew Sfekas, t</w:t>
      </w:r>
      <w:r w:rsidR="0075529E" w:rsidRPr="00403E6A">
        <w:rPr>
          <w:rFonts w:ascii="Times New Roman" w:hAnsi="Times New Roman" w:cs="Times New Roman"/>
          <w:sz w:val="24"/>
          <w:szCs w:val="24"/>
        </w:rPr>
        <w:t xml:space="preserve">he concept behind the test was </w:t>
      </w:r>
      <w:r w:rsidR="00877588" w:rsidRPr="00403E6A">
        <w:rPr>
          <w:rFonts w:ascii="Times New Roman" w:hAnsi="Times New Roman" w:cs="Times New Roman"/>
          <w:sz w:val="24"/>
          <w:szCs w:val="24"/>
        </w:rPr>
        <w:t>“</w:t>
      </w:r>
      <w:r w:rsidR="0075529E" w:rsidRPr="00403E6A">
        <w:rPr>
          <w:rFonts w:ascii="Times New Roman" w:hAnsi="Times New Roman" w:cs="Times New Roman"/>
          <w:sz w:val="24"/>
          <w:szCs w:val="24"/>
        </w:rPr>
        <w:t xml:space="preserve">if both flow statistics are small </w:t>
      </w:r>
      <w:r w:rsidR="00A91102" w:rsidRPr="00403E6A">
        <w:rPr>
          <w:rFonts w:ascii="Times New Roman" w:hAnsi="Times New Roman" w:cs="Times New Roman"/>
          <w:sz w:val="24"/>
          <w:szCs w:val="24"/>
        </w:rPr>
        <w:t>…</w:t>
      </w:r>
      <w:r w:rsidR="0075529E" w:rsidRPr="00403E6A">
        <w:rPr>
          <w:rFonts w:ascii="Times New Roman" w:hAnsi="Times New Roman" w:cs="Times New Roman"/>
          <w:sz w:val="24"/>
          <w:szCs w:val="24"/>
        </w:rPr>
        <w:t xml:space="preserve"> the market is deemed to be well defined, based on the assumption that if few patients travel outside the proposed market for care, the area must not have many alternative providers.</w:t>
      </w:r>
      <w:r w:rsidR="00A91102" w:rsidRPr="00403E6A">
        <w:rPr>
          <w:rFonts w:ascii="Times New Roman" w:hAnsi="Times New Roman" w:cs="Times New Roman"/>
          <w:sz w:val="24"/>
          <w:szCs w:val="24"/>
        </w:rPr>
        <w:t>”</w:t>
      </w:r>
      <w:r w:rsidR="0011188A">
        <w:rPr>
          <w:rStyle w:val="FootnoteReference"/>
          <w:rFonts w:ascii="Times New Roman" w:hAnsi="Times New Roman" w:cs="Times New Roman"/>
          <w:sz w:val="24"/>
          <w:szCs w:val="24"/>
        </w:rPr>
        <w:footnoteReference w:id="137"/>
      </w:r>
      <w:r w:rsidR="00D52E7D" w:rsidRPr="00403E6A">
        <w:rPr>
          <w:rFonts w:ascii="Times New Roman" w:hAnsi="Times New Roman" w:cs="Times New Roman"/>
          <w:sz w:val="24"/>
          <w:szCs w:val="24"/>
        </w:rPr>
        <w:t xml:space="preserve"> The definition of “small” had varied</w:t>
      </w:r>
      <w:r w:rsidR="00A91102" w:rsidRPr="00403E6A">
        <w:rPr>
          <w:rFonts w:ascii="Times New Roman" w:hAnsi="Times New Roman" w:cs="Times New Roman"/>
          <w:sz w:val="24"/>
          <w:szCs w:val="24"/>
        </w:rPr>
        <w:t xml:space="preserve"> </w:t>
      </w:r>
      <w:r w:rsidR="00D52E7D" w:rsidRPr="00403E6A">
        <w:rPr>
          <w:rFonts w:ascii="Times New Roman" w:hAnsi="Times New Roman" w:cs="Times New Roman"/>
          <w:sz w:val="24"/>
          <w:szCs w:val="24"/>
        </w:rPr>
        <w:t xml:space="preserve">from </w:t>
      </w:r>
      <w:r w:rsidR="00D047EA" w:rsidRPr="00403E6A">
        <w:rPr>
          <w:rFonts w:ascii="Times New Roman" w:hAnsi="Times New Roman" w:cs="Times New Roman"/>
          <w:sz w:val="24"/>
          <w:szCs w:val="24"/>
        </w:rPr>
        <w:t>ten</w:t>
      </w:r>
      <w:r w:rsidR="00D52E7D" w:rsidRPr="00403E6A">
        <w:rPr>
          <w:rFonts w:ascii="Times New Roman" w:hAnsi="Times New Roman" w:cs="Times New Roman"/>
          <w:sz w:val="24"/>
          <w:szCs w:val="24"/>
        </w:rPr>
        <w:t xml:space="preserve"> to </w:t>
      </w:r>
      <w:r w:rsidR="00D047EA" w:rsidRPr="00403E6A">
        <w:rPr>
          <w:rFonts w:ascii="Times New Roman" w:hAnsi="Times New Roman" w:cs="Times New Roman"/>
          <w:sz w:val="24"/>
          <w:szCs w:val="24"/>
        </w:rPr>
        <w:t>twenty-five</w:t>
      </w:r>
      <w:r w:rsidR="00D52E7D" w:rsidRPr="00403E6A">
        <w:rPr>
          <w:rFonts w:ascii="Times New Roman" w:hAnsi="Times New Roman" w:cs="Times New Roman"/>
          <w:sz w:val="24"/>
          <w:szCs w:val="24"/>
        </w:rPr>
        <w:t xml:space="preserve"> percent.</w:t>
      </w:r>
      <w:r w:rsidR="001740D4">
        <w:rPr>
          <w:rStyle w:val="FootnoteReference"/>
          <w:rFonts w:ascii="Times New Roman" w:hAnsi="Times New Roman" w:cs="Times New Roman"/>
          <w:sz w:val="24"/>
          <w:szCs w:val="24"/>
        </w:rPr>
        <w:footnoteReference w:id="138"/>
      </w:r>
      <w:r w:rsidR="00D52E7D" w:rsidRPr="00403E6A">
        <w:rPr>
          <w:rFonts w:ascii="Times New Roman" w:hAnsi="Times New Roman" w:cs="Times New Roman"/>
          <w:sz w:val="24"/>
          <w:szCs w:val="24"/>
        </w:rPr>
        <w:t xml:space="preserve"> </w:t>
      </w:r>
      <w:r w:rsidR="00B669B3" w:rsidRPr="00403E6A">
        <w:rPr>
          <w:rFonts w:ascii="Times New Roman" w:hAnsi="Times New Roman" w:cs="Times New Roman"/>
          <w:sz w:val="24"/>
          <w:szCs w:val="24"/>
        </w:rPr>
        <w:t>T</w:t>
      </w:r>
      <w:r w:rsidR="008D1B85" w:rsidRPr="00403E6A">
        <w:rPr>
          <w:rFonts w:ascii="Times New Roman" w:hAnsi="Times New Roman" w:cs="Times New Roman"/>
          <w:sz w:val="24"/>
          <w:szCs w:val="24"/>
        </w:rPr>
        <w:t xml:space="preserve">he </w:t>
      </w:r>
      <w:r w:rsidR="00B669B3" w:rsidRPr="00403E6A">
        <w:rPr>
          <w:rFonts w:ascii="Times New Roman" w:hAnsi="Times New Roman" w:cs="Times New Roman"/>
          <w:i/>
          <w:iCs/>
          <w:sz w:val="24"/>
          <w:szCs w:val="24"/>
        </w:rPr>
        <w:t>Rockford</w:t>
      </w:r>
      <w:r w:rsidR="00B669B3" w:rsidRPr="00403E6A">
        <w:rPr>
          <w:rFonts w:ascii="Times New Roman" w:hAnsi="Times New Roman" w:cs="Times New Roman"/>
          <w:sz w:val="24"/>
          <w:szCs w:val="24"/>
        </w:rPr>
        <w:t xml:space="preserve"> </w:t>
      </w:r>
      <w:r w:rsidR="008D1B85" w:rsidRPr="00403E6A">
        <w:rPr>
          <w:rFonts w:ascii="Times New Roman" w:hAnsi="Times New Roman" w:cs="Times New Roman"/>
          <w:sz w:val="24"/>
          <w:szCs w:val="24"/>
        </w:rPr>
        <w:t xml:space="preserve">court </w:t>
      </w:r>
      <w:r w:rsidR="006B6BE5">
        <w:rPr>
          <w:rFonts w:ascii="Times New Roman" w:hAnsi="Times New Roman" w:cs="Times New Roman"/>
          <w:sz w:val="24"/>
          <w:szCs w:val="24"/>
        </w:rPr>
        <w:t>“</w:t>
      </w:r>
      <w:r w:rsidR="006B6BE5" w:rsidRPr="006B6BE5">
        <w:rPr>
          <w:rFonts w:ascii="Times New Roman" w:hAnsi="Times New Roman" w:cs="Times New Roman"/>
          <w:sz w:val="24"/>
          <w:szCs w:val="24"/>
        </w:rPr>
        <w:t>limited the relevant geographic market to the county in which the merging hospitals operated, plus a set of zip codes from adjacent counties that contributed nontrivial numbers of patients to the Rockford area.</w:t>
      </w:r>
      <w:r w:rsidR="006B6BE5">
        <w:rPr>
          <w:rFonts w:ascii="Times New Roman" w:hAnsi="Times New Roman" w:cs="Times New Roman"/>
          <w:sz w:val="24"/>
          <w:szCs w:val="24"/>
        </w:rPr>
        <w:t>”</w:t>
      </w:r>
      <w:r w:rsidR="00284236">
        <w:rPr>
          <w:rStyle w:val="FootnoteReference"/>
          <w:rFonts w:ascii="Times New Roman" w:hAnsi="Times New Roman" w:cs="Times New Roman"/>
          <w:sz w:val="24"/>
          <w:szCs w:val="24"/>
        </w:rPr>
        <w:footnoteReference w:id="139"/>
      </w:r>
      <w:r w:rsidR="008D1B85" w:rsidRPr="00403E6A">
        <w:rPr>
          <w:rFonts w:ascii="Times New Roman" w:hAnsi="Times New Roman" w:cs="Times New Roman"/>
          <w:sz w:val="24"/>
          <w:szCs w:val="24"/>
        </w:rPr>
        <w:t xml:space="preserve"> The result </w:t>
      </w:r>
      <w:r w:rsidR="00471440" w:rsidRPr="00403E6A">
        <w:rPr>
          <w:rFonts w:ascii="Times New Roman" w:hAnsi="Times New Roman" w:cs="Times New Roman"/>
          <w:sz w:val="24"/>
          <w:szCs w:val="24"/>
        </w:rPr>
        <w:t xml:space="preserve">was that </w:t>
      </w:r>
      <w:r w:rsidR="00944953" w:rsidRPr="00403E6A">
        <w:rPr>
          <w:rFonts w:ascii="Times New Roman" w:hAnsi="Times New Roman" w:cs="Times New Roman"/>
          <w:sz w:val="24"/>
          <w:szCs w:val="24"/>
        </w:rPr>
        <w:t xml:space="preserve">almost </w:t>
      </w:r>
      <w:r w:rsidR="006134AE" w:rsidRPr="00403E6A">
        <w:rPr>
          <w:rFonts w:ascii="Times New Roman" w:hAnsi="Times New Roman" w:cs="Times New Roman"/>
          <w:sz w:val="24"/>
          <w:szCs w:val="24"/>
        </w:rPr>
        <w:t>ninety</w:t>
      </w:r>
      <w:r w:rsidR="00944953" w:rsidRPr="00403E6A">
        <w:rPr>
          <w:rFonts w:ascii="Times New Roman" w:hAnsi="Times New Roman" w:cs="Times New Roman"/>
          <w:sz w:val="24"/>
          <w:szCs w:val="24"/>
        </w:rPr>
        <w:t xml:space="preserve"> percent of the </w:t>
      </w:r>
      <w:r w:rsidR="00471440" w:rsidRPr="00403E6A">
        <w:rPr>
          <w:rFonts w:ascii="Times New Roman" w:hAnsi="Times New Roman" w:cs="Times New Roman"/>
          <w:sz w:val="24"/>
          <w:szCs w:val="24"/>
        </w:rPr>
        <w:t xml:space="preserve">defendant’s </w:t>
      </w:r>
      <w:r w:rsidR="00944953" w:rsidRPr="00403E6A">
        <w:rPr>
          <w:rFonts w:ascii="Times New Roman" w:hAnsi="Times New Roman" w:cs="Times New Roman"/>
          <w:sz w:val="24"/>
          <w:szCs w:val="24"/>
        </w:rPr>
        <w:t>admissions resided in the defined market.</w:t>
      </w:r>
      <w:r w:rsidR="0025190C">
        <w:rPr>
          <w:rStyle w:val="FootnoteReference"/>
          <w:rFonts w:ascii="Times New Roman" w:hAnsi="Times New Roman" w:cs="Times New Roman"/>
          <w:sz w:val="24"/>
          <w:szCs w:val="24"/>
        </w:rPr>
        <w:footnoteReference w:id="140"/>
      </w:r>
      <w:r w:rsidR="00944953" w:rsidRPr="00403E6A">
        <w:rPr>
          <w:rFonts w:ascii="Times New Roman" w:hAnsi="Times New Roman" w:cs="Times New Roman"/>
          <w:sz w:val="24"/>
          <w:szCs w:val="24"/>
        </w:rPr>
        <w:t xml:space="preserve"> </w:t>
      </w:r>
      <w:r w:rsidR="00CE17C4" w:rsidRPr="00403E6A">
        <w:rPr>
          <w:rFonts w:ascii="Times New Roman" w:hAnsi="Times New Roman" w:cs="Times New Roman"/>
          <w:sz w:val="24"/>
          <w:szCs w:val="24"/>
        </w:rPr>
        <w:t xml:space="preserve">Despite </w:t>
      </w:r>
      <w:r w:rsidR="00CE17C4" w:rsidRPr="00403E6A">
        <w:rPr>
          <w:rFonts w:ascii="Times New Roman" w:hAnsi="Times New Roman" w:cs="Times New Roman"/>
          <w:sz w:val="24"/>
          <w:szCs w:val="24"/>
        </w:rPr>
        <w:lastRenderedPageBreak/>
        <w:t>there being four other hospitals</w:t>
      </w:r>
      <w:r w:rsidR="00B41F0E" w:rsidRPr="00403E6A">
        <w:rPr>
          <w:rFonts w:ascii="Times New Roman" w:hAnsi="Times New Roman" w:cs="Times New Roman"/>
          <w:sz w:val="24"/>
          <w:szCs w:val="24"/>
        </w:rPr>
        <w:t xml:space="preserve"> in the defined market</w:t>
      </w:r>
      <w:r w:rsidR="00CE17C4" w:rsidRPr="00403E6A">
        <w:rPr>
          <w:rFonts w:ascii="Times New Roman" w:hAnsi="Times New Roman" w:cs="Times New Roman"/>
          <w:sz w:val="24"/>
          <w:szCs w:val="24"/>
        </w:rPr>
        <w:t>,</w:t>
      </w:r>
      <w:r w:rsidR="00D61E1C" w:rsidRPr="00403E6A">
        <w:rPr>
          <w:rFonts w:ascii="Times New Roman" w:hAnsi="Times New Roman" w:cs="Times New Roman"/>
          <w:sz w:val="24"/>
          <w:szCs w:val="24"/>
        </w:rPr>
        <w:t xml:space="preserve"> the court held that</w:t>
      </w:r>
      <w:r w:rsidR="00CE17C4" w:rsidRPr="00403E6A">
        <w:rPr>
          <w:rFonts w:ascii="Times New Roman" w:hAnsi="Times New Roman" w:cs="Times New Roman"/>
          <w:sz w:val="24"/>
          <w:szCs w:val="24"/>
        </w:rPr>
        <w:t xml:space="preserve"> </w:t>
      </w:r>
      <w:r w:rsidR="00F50450" w:rsidRPr="00403E6A">
        <w:rPr>
          <w:rFonts w:ascii="Times New Roman" w:hAnsi="Times New Roman" w:cs="Times New Roman"/>
          <w:sz w:val="24"/>
          <w:szCs w:val="24"/>
        </w:rPr>
        <w:t>the change in market consolidation was untenable.</w:t>
      </w:r>
      <w:r w:rsidR="008F7FCE">
        <w:rPr>
          <w:rStyle w:val="FootnoteReference"/>
          <w:rFonts w:ascii="Times New Roman" w:hAnsi="Times New Roman" w:cs="Times New Roman"/>
          <w:sz w:val="24"/>
          <w:szCs w:val="24"/>
        </w:rPr>
        <w:footnoteReference w:id="141"/>
      </w:r>
      <w:r w:rsidR="00F50450" w:rsidRPr="00403E6A">
        <w:rPr>
          <w:rFonts w:ascii="Times New Roman" w:hAnsi="Times New Roman" w:cs="Times New Roman"/>
          <w:sz w:val="24"/>
          <w:szCs w:val="24"/>
        </w:rPr>
        <w:t xml:space="preserve"> </w:t>
      </w:r>
    </w:p>
    <w:p w14:paraId="3F2EFDCB" w14:textId="0BF2DF7A" w:rsidR="00621515" w:rsidRPr="00403E6A" w:rsidRDefault="006A2A92" w:rsidP="007D51AE">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r>
      <w:r w:rsidR="00052585" w:rsidRPr="00403E6A">
        <w:rPr>
          <w:rFonts w:ascii="Times New Roman" w:hAnsi="Times New Roman" w:cs="Times New Roman"/>
          <w:sz w:val="24"/>
          <w:szCs w:val="24"/>
        </w:rPr>
        <w:t>It is important to note that, according to Dranove</w:t>
      </w:r>
      <w:r w:rsidR="00FF525C">
        <w:rPr>
          <w:rFonts w:ascii="Times New Roman" w:hAnsi="Times New Roman" w:cs="Times New Roman"/>
          <w:sz w:val="24"/>
          <w:szCs w:val="24"/>
        </w:rPr>
        <w:t xml:space="preserve"> and Sfekas</w:t>
      </w:r>
      <w:r w:rsidR="00052585" w:rsidRPr="00403E6A">
        <w:rPr>
          <w:rFonts w:ascii="Times New Roman" w:hAnsi="Times New Roman" w:cs="Times New Roman"/>
          <w:sz w:val="24"/>
          <w:szCs w:val="24"/>
        </w:rPr>
        <w:t>, “</w:t>
      </w:r>
      <w:r w:rsidR="00EE0D2A" w:rsidRPr="00403E6A">
        <w:rPr>
          <w:rFonts w:ascii="Times New Roman" w:hAnsi="Times New Roman" w:cs="Times New Roman"/>
          <w:sz w:val="24"/>
          <w:szCs w:val="24"/>
        </w:rPr>
        <w:t>The hospital mergers contested by the FTC and DOJ during the 1990s tended to involve smaller metropolitan areas with two to four hospitals that drew more than 10 percent of their patients from surrounding communities.</w:t>
      </w:r>
      <w:r w:rsidR="00052585" w:rsidRPr="00403E6A">
        <w:rPr>
          <w:rFonts w:ascii="Times New Roman" w:hAnsi="Times New Roman" w:cs="Times New Roman"/>
          <w:sz w:val="24"/>
          <w:szCs w:val="24"/>
        </w:rPr>
        <w:t>”</w:t>
      </w:r>
      <w:r w:rsidR="00FF525C">
        <w:rPr>
          <w:rStyle w:val="FootnoteReference"/>
          <w:rFonts w:ascii="Times New Roman" w:hAnsi="Times New Roman" w:cs="Times New Roman"/>
          <w:sz w:val="24"/>
          <w:szCs w:val="24"/>
        </w:rPr>
        <w:footnoteReference w:id="142"/>
      </w:r>
      <w:r w:rsidR="00052585" w:rsidRPr="00403E6A">
        <w:rPr>
          <w:rFonts w:ascii="Times New Roman" w:hAnsi="Times New Roman" w:cs="Times New Roman"/>
          <w:sz w:val="24"/>
          <w:szCs w:val="24"/>
        </w:rPr>
        <w:t xml:space="preserve"> </w:t>
      </w:r>
      <w:r w:rsidR="00EE0D2A" w:rsidRPr="00403E6A">
        <w:rPr>
          <w:rFonts w:ascii="Times New Roman" w:hAnsi="Times New Roman" w:cs="Times New Roman"/>
          <w:sz w:val="24"/>
          <w:szCs w:val="24"/>
        </w:rPr>
        <w:t xml:space="preserve"> </w:t>
      </w:r>
      <w:r w:rsidR="00B51E7F" w:rsidRPr="00403E6A">
        <w:rPr>
          <w:rFonts w:ascii="Times New Roman" w:hAnsi="Times New Roman" w:cs="Times New Roman"/>
          <w:sz w:val="24"/>
          <w:szCs w:val="24"/>
        </w:rPr>
        <w:t xml:space="preserve">This is relevant because not all geographic areas are the same. What makes sense in rural areas is not </w:t>
      </w:r>
      <w:r w:rsidR="00D24049" w:rsidRPr="00403E6A">
        <w:rPr>
          <w:rFonts w:ascii="Times New Roman" w:hAnsi="Times New Roman" w:cs="Times New Roman"/>
          <w:sz w:val="24"/>
          <w:szCs w:val="24"/>
        </w:rPr>
        <w:t xml:space="preserve">necessarily the case in densely populated suburban regions. </w:t>
      </w:r>
      <w:r w:rsidR="002624C9" w:rsidRPr="00403E6A">
        <w:rPr>
          <w:rFonts w:ascii="Times New Roman" w:hAnsi="Times New Roman" w:cs="Times New Roman"/>
          <w:sz w:val="24"/>
          <w:szCs w:val="24"/>
        </w:rPr>
        <w:t>Antitrust suits</w:t>
      </w:r>
      <w:r w:rsidR="00A308CC" w:rsidRPr="00403E6A">
        <w:rPr>
          <w:rFonts w:ascii="Times New Roman" w:hAnsi="Times New Roman" w:cs="Times New Roman"/>
          <w:sz w:val="24"/>
          <w:szCs w:val="24"/>
        </w:rPr>
        <w:t xml:space="preserve"> that held similar holdings to </w:t>
      </w:r>
      <w:r w:rsidR="00A308CC" w:rsidRPr="00403E6A">
        <w:rPr>
          <w:rFonts w:ascii="Times New Roman" w:hAnsi="Times New Roman" w:cs="Times New Roman"/>
          <w:i/>
          <w:iCs/>
          <w:sz w:val="24"/>
          <w:szCs w:val="24"/>
        </w:rPr>
        <w:t>Rockford</w:t>
      </w:r>
      <w:r w:rsidR="001D5ABE" w:rsidRPr="00403E6A">
        <w:rPr>
          <w:rFonts w:ascii="Times New Roman" w:hAnsi="Times New Roman" w:cs="Times New Roman"/>
          <w:sz w:val="24"/>
          <w:szCs w:val="24"/>
        </w:rPr>
        <w:t xml:space="preserve"> </w:t>
      </w:r>
      <w:r w:rsidR="00EE0D2A" w:rsidRPr="00403E6A">
        <w:rPr>
          <w:rFonts w:ascii="Times New Roman" w:hAnsi="Times New Roman" w:cs="Times New Roman"/>
          <w:sz w:val="24"/>
          <w:szCs w:val="24"/>
        </w:rPr>
        <w:t xml:space="preserve">included many hospitals </w:t>
      </w:r>
      <w:r w:rsidR="009A3950" w:rsidRPr="00403E6A">
        <w:rPr>
          <w:rFonts w:ascii="Times New Roman" w:hAnsi="Times New Roman" w:cs="Times New Roman"/>
          <w:sz w:val="24"/>
          <w:szCs w:val="24"/>
        </w:rPr>
        <w:t>far outside</w:t>
      </w:r>
      <w:r w:rsidR="00EE0D2A" w:rsidRPr="00403E6A">
        <w:rPr>
          <w:rFonts w:ascii="Times New Roman" w:hAnsi="Times New Roman" w:cs="Times New Roman"/>
          <w:sz w:val="24"/>
          <w:szCs w:val="24"/>
        </w:rPr>
        <w:t xml:space="preserve"> the metropolitan areas</w:t>
      </w:r>
      <w:r w:rsidR="009A3950" w:rsidRPr="00403E6A">
        <w:rPr>
          <w:rFonts w:ascii="Times New Roman" w:hAnsi="Times New Roman" w:cs="Times New Roman"/>
          <w:sz w:val="24"/>
          <w:szCs w:val="24"/>
        </w:rPr>
        <w:t xml:space="preserve"> at issue</w:t>
      </w:r>
      <w:r w:rsidR="00EE0D2A" w:rsidRPr="00403E6A">
        <w:rPr>
          <w:rFonts w:ascii="Times New Roman" w:hAnsi="Times New Roman" w:cs="Times New Roman"/>
          <w:sz w:val="24"/>
          <w:szCs w:val="24"/>
        </w:rPr>
        <w:t xml:space="preserve">, making it appear that the merging hospitals had </w:t>
      </w:r>
      <w:r w:rsidR="001953F8" w:rsidRPr="00403E6A">
        <w:rPr>
          <w:rFonts w:ascii="Times New Roman" w:hAnsi="Times New Roman" w:cs="Times New Roman"/>
          <w:sz w:val="24"/>
          <w:szCs w:val="24"/>
        </w:rPr>
        <w:t>not consolidated the market</w:t>
      </w:r>
      <w:r w:rsidR="00EE0D2A" w:rsidRPr="00403E6A">
        <w:rPr>
          <w:rFonts w:ascii="Times New Roman" w:hAnsi="Times New Roman" w:cs="Times New Roman"/>
          <w:sz w:val="24"/>
          <w:szCs w:val="24"/>
        </w:rPr>
        <w:t>.</w:t>
      </w:r>
      <w:r w:rsidR="00A95288">
        <w:rPr>
          <w:rStyle w:val="FootnoteReference"/>
          <w:rFonts w:ascii="Times New Roman" w:hAnsi="Times New Roman" w:cs="Times New Roman"/>
          <w:sz w:val="24"/>
          <w:szCs w:val="24"/>
        </w:rPr>
        <w:footnoteReference w:id="143"/>
      </w:r>
      <w:r w:rsidR="009A3950" w:rsidRPr="00403E6A">
        <w:rPr>
          <w:rFonts w:ascii="Times New Roman" w:hAnsi="Times New Roman" w:cs="Times New Roman"/>
          <w:sz w:val="24"/>
          <w:szCs w:val="24"/>
        </w:rPr>
        <w:t xml:space="preserve"> This </w:t>
      </w:r>
      <w:r w:rsidR="00811BCD" w:rsidRPr="00403E6A">
        <w:rPr>
          <w:rFonts w:ascii="Times New Roman" w:hAnsi="Times New Roman" w:cs="Times New Roman"/>
          <w:sz w:val="24"/>
          <w:szCs w:val="24"/>
        </w:rPr>
        <w:t xml:space="preserve">enabled </w:t>
      </w:r>
      <w:r w:rsidR="005D0ED6" w:rsidRPr="00403E6A">
        <w:rPr>
          <w:rFonts w:ascii="Times New Roman" w:hAnsi="Times New Roman" w:cs="Times New Roman"/>
          <w:sz w:val="24"/>
          <w:szCs w:val="24"/>
        </w:rPr>
        <w:t>suburban and urban area hospital networks to merge without concern</w:t>
      </w:r>
      <w:r w:rsidR="00811BCD" w:rsidRPr="00403E6A">
        <w:rPr>
          <w:rFonts w:ascii="Times New Roman" w:hAnsi="Times New Roman" w:cs="Times New Roman"/>
          <w:sz w:val="24"/>
          <w:szCs w:val="24"/>
        </w:rPr>
        <w:t xml:space="preserve">. </w:t>
      </w:r>
      <w:r w:rsidR="004F373F" w:rsidRPr="00403E6A">
        <w:rPr>
          <w:rFonts w:ascii="Times New Roman" w:hAnsi="Times New Roman" w:cs="Times New Roman"/>
          <w:sz w:val="24"/>
          <w:szCs w:val="24"/>
        </w:rPr>
        <w:t xml:space="preserve">For example, the courts permitted the merger of </w:t>
      </w:r>
      <w:r w:rsidR="00884349" w:rsidRPr="00403E6A">
        <w:rPr>
          <w:rFonts w:ascii="Times New Roman" w:hAnsi="Times New Roman" w:cs="Times New Roman"/>
          <w:sz w:val="24"/>
          <w:szCs w:val="24"/>
        </w:rPr>
        <w:t>two Long Island hospitals base</w:t>
      </w:r>
      <w:r w:rsidR="00BF39F6">
        <w:rPr>
          <w:rFonts w:ascii="Times New Roman" w:hAnsi="Times New Roman" w:cs="Times New Roman"/>
          <w:sz w:val="24"/>
          <w:szCs w:val="24"/>
        </w:rPr>
        <w:t>d</w:t>
      </w:r>
      <w:r w:rsidR="004F373F" w:rsidRPr="00403E6A">
        <w:rPr>
          <w:rFonts w:ascii="Times New Roman" w:hAnsi="Times New Roman" w:cs="Times New Roman"/>
          <w:sz w:val="24"/>
          <w:szCs w:val="24"/>
        </w:rPr>
        <w:t xml:space="preserve"> on the grounds that the </w:t>
      </w:r>
      <w:r w:rsidR="00BF39F6">
        <w:rPr>
          <w:rFonts w:ascii="Times New Roman" w:hAnsi="Times New Roman" w:cs="Times New Roman"/>
          <w:sz w:val="24"/>
          <w:szCs w:val="24"/>
        </w:rPr>
        <w:t xml:space="preserve">patient-flow </w:t>
      </w:r>
      <w:r w:rsidR="005C3C4F">
        <w:rPr>
          <w:rFonts w:ascii="Times New Roman" w:hAnsi="Times New Roman" w:cs="Times New Roman"/>
          <w:sz w:val="24"/>
          <w:szCs w:val="24"/>
        </w:rPr>
        <w:t xml:space="preserve">and </w:t>
      </w:r>
      <w:r w:rsidR="004F373F" w:rsidRPr="00403E6A">
        <w:rPr>
          <w:rFonts w:ascii="Times New Roman" w:hAnsi="Times New Roman" w:cs="Times New Roman"/>
          <w:sz w:val="24"/>
          <w:szCs w:val="24"/>
        </w:rPr>
        <w:t xml:space="preserve">geographic market </w:t>
      </w:r>
      <w:r w:rsidR="005C3C4F">
        <w:rPr>
          <w:rFonts w:ascii="Times New Roman" w:hAnsi="Times New Roman" w:cs="Times New Roman"/>
          <w:sz w:val="24"/>
          <w:szCs w:val="24"/>
        </w:rPr>
        <w:t xml:space="preserve">analysis </w:t>
      </w:r>
      <w:r w:rsidR="004F373F" w:rsidRPr="00403E6A">
        <w:rPr>
          <w:rFonts w:ascii="Times New Roman" w:hAnsi="Times New Roman" w:cs="Times New Roman"/>
          <w:sz w:val="24"/>
          <w:szCs w:val="24"/>
        </w:rPr>
        <w:t>included much of New York City.</w:t>
      </w:r>
      <w:r w:rsidR="005F1FEF">
        <w:rPr>
          <w:rStyle w:val="FootnoteReference"/>
          <w:rFonts w:ascii="Times New Roman" w:hAnsi="Times New Roman" w:cs="Times New Roman"/>
          <w:sz w:val="24"/>
          <w:szCs w:val="24"/>
        </w:rPr>
        <w:footnoteReference w:id="144"/>
      </w:r>
      <w:r w:rsidR="00A05612" w:rsidRPr="00403E6A">
        <w:rPr>
          <w:rFonts w:ascii="Times New Roman" w:hAnsi="Times New Roman" w:cs="Times New Roman"/>
          <w:sz w:val="24"/>
          <w:szCs w:val="24"/>
        </w:rPr>
        <w:t xml:space="preserve"> </w:t>
      </w:r>
      <w:r w:rsidR="00621515" w:rsidRPr="00403E6A">
        <w:rPr>
          <w:rFonts w:ascii="Times New Roman" w:hAnsi="Times New Roman" w:cs="Times New Roman"/>
          <w:sz w:val="24"/>
          <w:szCs w:val="24"/>
        </w:rPr>
        <w:t xml:space="preserve">According to Greaney, </w:t>
      </w:r>
      <w:r w:rsidR="00122808" w:rsidRPr="00403E6A">
        <w:rPr>
          <w:rFonts w:ascii="Times New Roman" w:hAnsi="Times New Roman" w:cs="Times New Roman"/>
          <w:sz w:val="24"/>
          <w:szCs w:val="24"/>
        </w:rPr>
        <w:t>“courts were too easily persuaded to find overbroad geographic markets—which spurred others to undertake concentrative acquisitions and likely caused government prosecutors to forgo challenging hospital mergers for almost seven years</w:t>
      </w:r>
      <w:r w:rsidR="00A5198E" w:rsidRPr="00403E6A">
        <w:rPr>
          <w:rFonts w:ascii="Times New Roman" w:hAnsi="Times New Roman" w:cs="Times New Roman"/>
          <w:sz w:val="24"/>
          <w:szCs w:val="24"/>
        </w:rPr>
        <w:t>.”</w:t>
      </w:r>
      <w:r w:rsidR="00AD3B5B">
        <w:rPr>
          <w:rStyle w:val="FootnoteReference"/>
          <w:rFonts w:ascii="Times New Roman" w:hAnsi="Times New Roman" w:cs="Times New Roman"/>
          <w:sz w:val="24"/>
          <w:szCs w:val="24"/>
        </w:rPr>
        <w:footnoteReference w:id="145"/>
      </w:r>
      <w:r w:rsidR="00A5198E" w:rsidRPr="00403E6A">
        <w:rPr>
          <w:rFonts w:ascii="Times New Roman" w:hAnsi="Times New Roman" w:cs="Times New Roman"/>
          <w:sz w:val="24"/>
          <w:szCs w:val="24"/>
        </w:rPr>
        <w:t xml:space="preserve"> The trends in consolidation, which are detailed above, support this conclusion</w:t>
      </w:r>
      <w:r w:rsidR="007D51AE" w:rsidRPr="00403E6A">
        <w:rPr>
          <w:rFonts w:ascii="Times New Roman" w:hAnsi="Times New Roman" w:cs="Times New Roman"/>
          <w:sz w:val="24"/>
          <w:szCs w:val="24"/>
        </w:rPr>
        <w:t xml:space="preserve">. </w:t>
      </w:r>
    </w:p>
    <w:p w14:paraId="2401F8EA" w14:textId="47430021" w:rsidR="00BF5531" w:rsidRPr="00403E6A" w:rsidRDefault="00621515" w:rsidP="00CD5447">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r>
      <w:r w:rsidR="00E006DF" w:rsidRPr="00403E6A">
        <w:rPr>
          <w:rFonts w:ascii="Times New Roman" w:hAnsi="Times New Roman" w:cs="Times New Roman"/>
          <w:sz w:val="24"/>
          <w:szCs w:val="24"/>
        </w:rPr>
        <w:t xml:space="preserve">The issues </w:t>
      </w:r>
      <w:r w:rsidR="00547F15" w:rsidRPr="00403E6A">
        <w:rPr>
          <w:rFonts w:ascii="Times New Roman" w:hAnsi="Times New Roman" w:cs="Times New Roman"/>
          <w:sz w:val="24"/>
          <w:szCs w:val="24"/>
        </w:rPr>
        <w:t xml:space="preserve">that antitrust enforcement have had </w:t>
      </w:r>
      <w:r w:rsidR="00F25FA0" w:rsidRPr="00403E6A">
        <w:rPr>
          <w:rFonts w:ascii="Times New Roman" w:hAnsi="Times New Roman" w:cs="Times New Roman"/>
          <w:sz w:val="24"/>
          <w:szCs w:val="24"/>
        </w:rPr>
        <w:t>i</w:t>
      </w:r>
      <w:r w:rsidR="00547F15" w:rsidRPr="00403E6A">
        <w:rPr>
          <w:rFonts w:ascii="Times New Roman" w:hAnsi="Times New Roman" w:cs="Times New Roman"/>
          <w:sz w:val="24"/>
          <w:szCs w:val="24"/>
        </w:rPr>
        <w:t xml:space="preserve">n applying these laws, as </w:t>
      </w:r>
      <w:r w:rsidR="006F3CE0" w:rsidRPr="00403E6A">
        <w:rPr>
          <w:rFonts w:ascii="Times New Roman" w:hAnsi="Times New Roman" w:cs="Times New Roman"/>
          <w:sz w:val="24"/>
          <w:szCs w:val="24"/>
        </w:rPr>
        <w:t xml:space="preserve">implied above, </w:t>
      </w:r>
      <w:r w:rsidR="006D35DC" w:rsidRPr="00403E6A">
        <w:rPr>
          <w:rFonts w:ascii="Times New Roman" w:hAnsi="Times New Roman" w:cs="Times New Roman"/>
          <w:sz w:val="24"/>
          <w:szCs w:val="24"/>
        </w:rPr>
        <w:t xml:space="preserve">are that </w:t>
      </w:r>
      <w:r w:rsidR="006F3CE0" w:rsidRPr="00403E6A">
        <w:rPr>
          <w:rFonts w:ascii="Times New Roman" w:hAnsi="Times New Roman" w:cs="Times New Roman"/>
          <w:sz w:val="24"/>
          <w:szCs w:val="24"/>
        </w:rPr>
        <w:t xml:space="preserve">most </w:t>
      </w:r>
      <w:r w:rsidR="00BF5531" w:rsidRPr="00403E6A">
        <w:rPr>
          <w:rFonts w:ascii="Times New Roman" w:hAnsi="Times New Roman" w:cs="Times New Roman"/>
          <w:sz w:val="24"/>
          <w:szCs w:val="24"/>
        </w:rPr>
        <w:t xml:space="preserve">transactions </w:t>
      </w:r>
      <w:r w:rsidR="006877D5" w:rsidRPr="00403E6A">
        <w:rPr>
          <w:rFonts w:ascii="Times New Roman" w:hAnsi="Times New Roman" w:cs="Times New Roman"/>
          <w:sz w:val="24"/>
          <w:szCs w:val="24"/>
        </w:rPr>
        <w:t xml:space="preserve">that </w:t>
      </w:r>
      <w:r w:rsidR="005A17F9" w:rsidRPr="00403E6A">
        <w:rPr>
          <w:rFonts w:ascii="Times New Roman" w:hAnsi="Times New Roman" w:cs="Times New Roman"/>
          <w:sz w:val="24"/>
          <w:szCs w:val="24"/>
        </w:rPr>
        <w:t>potentially infringe on competition</w:t>
      </w:r>
      <w:r w:rsidR="00BF5531" w:rsidRPr="00403E6A">
        <w:rPr>
          <w:rFonts w:ascii="Times New Roman" w:hAnsi="Times New Roman" w:cs="Times New Roman"/>
          <w:sz w:val="24"/>
          <w:szCs w:val="24"/>
        </w:rPr>
        <w:t xml:space="preserve"> are subject to</w:t>
      </w:r>
      <w:r w:rsidR="00F7245D" w:rsidRPr="00403E6A">
        <w:rPr>
          <w:rFonts w:ascii="Times New Roman" w:hAnsi="Times New Roman" w:cs="Times New Roman"/>
          <w:sz w:val="24"/>
          <w:szCs w:val="24"/>
        </w:rPr>
        <w:t xml:space="preserve"> </w:t>
      </w:r>
      <w:r w:rsidR="00BF5531" w:rsidRPr="00403E6A">
        <w:rPr>
          <w:rFonts w:ascii="Times New Roman" w:hAnsi="Times New Roman" w:cs="Times New Roman"/>
          <w:sz w:val="24"/>
          <w:szCs w:val="24"/>
        </w:rPr>
        <w:t>much more extensive analysis</w:t>
      </w:r>
      <w:r w:rsidR="006F3CE0" w:rsidRPr="00403E6A">
        <w:rPr>
          <w:rFonts w:ascii="Times New Roman" w:hAnsi="Times New Roman" w:cs="Times New Roman"/>
          <w:sz w:val="24"/>
          <w:szCs w:val="24"/>
        </w:rPr>
        <w:t xml:space="preserve">. </w:t>
      </w:r>
      <w:r w:rsidR="007B7B0C" w:rsidRPr="00403E6A">
        <w:rPr>
          <w:rFonts w:ascii="Times New Roman" w:hAnsi="Times New Roman" w:cs="Times New Roman"/>
          <w:sz w:val="24"/>
          <w:szCs w:val="24"/>
        </w:rPr>
        <w:t>Since</w:t>
      </w:r>
      <w:r w:rsidR="00D150F4" w:rsidRPr="00403E6A">
        <w:rPr>
          <w:rFonts w:ascii="Times New Roman" w:hAnsi="Times New Roman" w:cs="Times New Roman"/>
          <w:sz w:val="24"/>
          <w:szCs w:val="24"/>
        </w:rPr>
        <w:t xml:space="preserve"> </w:t>
      </w:r>
      <w:r w:rsidR="003F2666" w:rsidRPr="00403E6A">
        <w:rPr>
          <w:rFonts w:ascii="Times New Roman" w:hAnsi="Times New Roman" w:cs="Times New Roman"/>
          <w:sz w:val="24"/>
          <w:szCs w:val="24"/>
        </w:rPr>
        <w:t>antitrust enforcement</w:t>
      </w:r>
      <w:r w:rsidR="00D150F4" w:rsidRPr="00403E6A">
        <w:rPr>
          <w:rFonts w:ascii="Times New Roman" w:hAnsi="Times New Roman" w:cs="Times New Roman"/>
          <w:sz w:val="24"/>
          <w:szCs w:val="24"/>
        </w:rPr>
        <w:t xml:space="preserve"> </w:t>
      </w:r>
      <w:r w:rsidR="00F2723D" w:rsidRPr="00403E6A">
        <w:rPr>
          <w:rFonts w:ascii="Times New Roman" w:hAnsi="Times New Roman" w:cs="Times New Roman"/>
          <w:sz w:val="24"/>
          <w:szCs w:val="24"/>
        </w:rPr>
        <w:t>players have</w:t>
      </w:r>
      <w:r w:rsidR="00D150F4" w:rsidRPr="00403E6A">
        <w:rPr>
          <w:rFonts w:ascii="Times New Roman" w:hAnsi="Times New Roman" w:cs="Times New Roman"/>
          <w:sz w:val="24"/>
          <w:szCs w:val="24"/>
        </w:rPr>
        <w:t xml:space="preserve"> a burden</w:t>
      </w:r>
      <w:r w:rsidR="007B7B0C" w:rsidRPr="00403E6A">
        <w:rPr>
          <w:rFonts w:ascii="Times New Roman" w:hAnsi="Times New Roman" w:cs="Times New Roman"/>
          <w:sz w:val="24"/>
          <w:szCs w:val="24"/>
        </w:rPr>
        <w:t xml:space="preserve"> to prove exclusionary </w:t>
      </w:r>
      <w:r w:rsidR="007B7B0C" w:rsidRPr="00403E6A">
        <w:rPr>
          <w:rFonts w:ascii="Times New Roman" w:hAnsi="Times New Roman" w:cs="Times New Roman"/>
          <w:sz w:val="24"/>
          <w:szCs w:val="24"/>
        </w:rPr>
        <w:lastRenderedPageBreak/>
        <w:t xml:space="preserve">conduct, </w:t>
      </w:r>
      <w:r w:rsidR="003F2666" w:rsidRPr="00403E6A">
        <w:rPr>
          <w:rFonts w:ascii="Times New Roman" w:hAnsi="Times New Roman" w:cs="Times New Roman"/>
          <w:sz w:val="24"/>
          <w:szCs w:val="24"/>
        </w:rPr>
        <w:t xml:space="preserve">there are a litany of </w:t>
      </w:r>
      <w:r w:rsidR="00BF5531" w:rsidRPr="00403E6A">
        <w:rPr>
          <w:rFonts w:ascii="Times New Roman" w:hAnsi="Times New Roman" w:cs="Times New Roman"/>
          <w:sz w:val="24"/>
          <w:szCs w:val="24"/>
        </w:rPr>
        <w:t>relevant</w:t>
      </w:r>
      <w:r w:rsidR="00F7245D" w:rsidRPr="00403E6A">
        <w:rPr>
          <w:rFonts w:ascii="Times New Roman" w:hAnsi="Times New Roman" w:cs="Times New Roman"/>
          <w:sz w:val="24"/>
          <w:szCs w:val="24"/>
        </w:rPr>
        <w:t xml:space="preserve"> </w:t>
      </w:r>
      <w:r w:rsidR="003F2666" w:rsidRPr="00403E6A">
        <w:rPr>
          <w:rFonts w:ascii="Times New Roman" w:hAnsi="Times New Roman" w:cs="Times New Roman"/>
          <w:sz w:val="24"/>
          <w:szCs w:val="24"/>
        </w:rPr>
        <w:t xml:space="preserve">factors that must be considered. </w:t>
      </w:r>
      <w:r w:rsidR="007F7BF3" w:rsidRPr="00403E6A">
        <w:rPr>
          <w:rFonts w:ascii="Times New Roman" w:hAnsi="Times New Roman" w:cs="Times New Roman"/>
          <w:sz w:val="24"/>
          <w:szCs w:val="24"/>
        </w:rPr>
        <w:t>Th</w:t>
      </w:r>
      <w:r w:rsidR="006C27F4" w:rsidRPr="00403E6A">
        <w:rPr>
          <w:rFonts w:ascii="Times New Roman" w:hAnsi="Times New Roman" w:cs="Times New Roman"/>
          <w:sz w:val="24"/>
          <w:szCs w:val="24"/>
        </w:rPr>
        <w:t>ese</w:t>
      </w:r>
      <w:r w:rsidR="007F7BF3" w:rsidRPr="00403E6A">
        <w:rPr>
          <w:rFonts w:ascii="Times New Roman" w:hAnsi="Times New Roman" w:cs="Times New Roman"/>
          <w:sz w:val="24"/>
          <w:szCs w:val="24"/>
        </w:rPr>
        <w:t xml:space="preserve"> </w:t>
      </w:r>
      <w:r w:rsidR="00B72DC1" w:rsidRPr="00403E6A">
        <w:rPr>
          <w:rFonts w:ascii="Times New Roman" w:hAnsi="Times New Roman" w:cs="Times New Roman"/>
          <w:sz w:val="24"/>
          <w:szCs w:val="24"/>
        </w:rPr>
        <w:t>include</w:t>
      </w:r>
      <w:r w:rsidR="007F7BF3" w:rsidRPr="00403E6A">
        <w:rPr>
          <w:rFonts w:ascii="Times New Roman" w:hAnsi="Times New Roman" w:cs="Times New Roman"/>
          <w:sz w:val="24"/>
          <w:szCs w:val="24"/>
        </w:rPr>
        <w:t xml:space="preserve"> </w:t>
      </w:r>
      <w:r w:rsidR="00BF5531" w:rsidRPr="00403E6A">
        <w:rPr>
          <w:rFonts w:ascii="Times New Roman" w:hAnsi="Times New Roman" w:cs="Times New Roman"/>
          <w:sz w:val="24"/>
          <w:szCs w:val="24"/>
        </w:rPr>
        <w:t>product and geographic markets</w:t>
      </w:r>
      <w:r w:rsidR="00D911B9">
        <w:rPr>
          <w:rFonts w:ascii="Times New Roman" w:hAnsi="Times New Roman" w:cs="Times New Roman"/>
          <w:sz w:val="24"/>
          <w:szCs w:val="24"/>
        </w:rPr>
        <w:t>,</w:t>
      </w:r>
      <w:r w:rsidR="00BF5531" w:rsidRPr="00403E6A">
        <w:rPr>
          <w:rFonts w:ascii="Times New Roman" w:hAnsi="Times New Roman" w:cs="Times New Roman"/>
          <w:sz w:val="24"/>
          <w:szCs w:val="24"/>
        </w:rPr>
        <w:t xml:space="preserve"> </w:t>
      </w:r>
      <w:r w:rsidR="00027C61">
        <w:rPr>
          <w:rFonts w:ascii="Times New Roman" w:hAnsi="Times New Roman" w:cs="Times New Roman"/>
          <w:sz w:val="24"/>
          <w:szCs w:val="24"/>
        </w:rPr>
        <w:t>transaction details such timeliness</w:t>
      </w:r>
      <w:r w:rsidR="00D911B9">
        <w:rPr>
          <w:rFonts w:ascii="Times New Roman" w:hAnsi="Times New Roman" w:cs="Times New Roman"/>
          <w:sz w:val="24"/>
          <w:szCs w:val="24"/>
        </w:rPr>
        <w:t xml:space="preserve">, </w:t>
      </w:r>
      <w:r w:rsidR="00CC2290" w:rsidRPr="00403E6A">
        <w:rPr>
          <w:rFonts w:ascii="Times New Roman" w:hAnsi="Times New Roman" w:cs="Times New Roman"/>
          <w:sz w:val="24"/>
          <w:szCs w:val="24"/>
        </w:rPr>
        <w:t>efficiency assessment</w:t>
      </w:r>
      <w:r w:rsidR="00D911B9">
        <w:rPr>
          <w:rFonts w:ascii="Times New Roman" w:hAnsi="Times New Roman" w:cs="Times New Roman"/>
          <w:sz w:val="24"/>
          <w:szCs w:val="24"/>
        </w:rPr>
        <w:t xml:space="preserve">, </w:t>
      </w:r>
      <w:r w:rsidR="00BF5531" w:rsidRPr="00403E6A">
        <w:rPr>
          <w:rFonts w:ascii="Times New Roman" w:hAnsi="Times New Roman" w:cs="Times New Roman"/>
          <w:sz w:val="24"/>
          <w:szCs w:val="24"/>
        </w:rPr>
        <w:t xml:space="preserve">and </w:t>
      </w:r>
      <w:r w:rsidR="00B72DC1" w:rsidRPr="00403E6A">
        <w:rPr>
          <w:rFonts w:ascii="Times New Roman" w:hAnsi="Times New Roman" w:cs="Times New Roman"/>
          <w:sz w:val="24"/>
          <w:szCs w:val="24"/>
        </w:rPr>
        <w:t>the</w:t>
      </w:r>
      <w:r w:rsidR="00EC4ABC" w:rsidRPr="00403E6A">
        <w:rPr>
          <w:rFonts w:ascii="Times New Roman" w:hAnsi="Times New Roman" w:cs="Times New Roman"/>
          <w:sz w:val="24"/>
          <w:szCs w:val="24"/>
        </w:rPr>
        <w:t xml:space="preserve"> </w:t>
      </w:r>
      <w:r w:rsidR="00B72DC1" w:rsidRPr="00403E6A">
        <w:rPr>
          <w:rFonts w:ascii="Times New Roman" w:hAnsi="Times New Roman" w:cs="Times New Roman"/>
          <w:sz w:val="24"/>
          <w:szCs w:val="24"/>
        </w:rPr>
        <w:t xml:space="preserve">overall </w:t>
      </w:r>
      <w:r w:rsidR="00EC4ABC" w:rsidRPr="00403E6A">
        <w:rPr>
          <w:rFonts w:ascii="Times New Roman" w:hAnsi="Times New Roman" w:cs="Times New Roman"/>
          <w:sz w:val="24"/>
          <w:szCs w:val="24"/>
        </w:rPr>
        <w:t xml:space="preserve">effect </w:t>
      </w:r>
      <w:r w:rsidR="00B85997" w:rsidRPr="00403E6A">
        <w:rPr>
          <w:rFonts w:ascii="Times New Roman" w:hAnsi="Times New Roman" w:cs="Times New Roman"/>
          <w:sz w:val="24"/>
          <w:szCs w:val="24"/>
        </w:rPr>
        <w:t>the transaction will</w:t>
      </w:r>
      <w:r w:rsidR="00B72DC1" w:rsidRPr="00403E6A">
        <w:rPr>
          <w:rFonts w:ascii="Times New Roman" w:hAnsi="Times New Roman" w:cs="Times New Roman"/>
          <w:sz w:val="24"/>
          <w:szCs w:val="24"/>
        </w:rPr>
        <w:t xml:space="preserve"> have on </w:t>
      </w:r>
      <w:r w:rsidR="00EC4ABC" w:rsidRPr="00403E6A">
        <w:rPr>
          <w:rFonts w:ascii="Times New Roman" w:hAnsi="Times New Roman" w:cs="Times New Roman"/>
          <w:sz w:val="24"/>
          <w:szCs w:val="24"/>
        </w:rPr>
        <w:t>competition</w:t>
      </w:r>
      <w:r w:rsidR="00BF5531" w:rsidRPr="00403E6A">
        <w:rPr>
          <w:rFonts w:ascii="Times New Roman" w:hAnsi="Times New Roman" w:cs="Times New Roman"/>
          <w:sz w:val="24"/>
          <w:szCs w:val="24"/>
        </w:rPr>
        <w:t>.</w:t>
      </w:r>
      <w:r w:rsidR="006877D5" w:rsidRPr="00403E6A">
        <w:rPr>
          <w:rFonts w:ascii="Times New Roman" w:hAnsi="Times New Roman" w:cs="Times New Roman"/>
          <w:sz w:val="24"/>
          <w:szCs w:val="24"/>
        </w:rPr>
        <w:t xml:space="preserve"> </w:t>
      </w:r>
      <w:r w:rsidR="00B146BC">
        <w:rPr>
          <w:rStyle w:val="FootnoteReference"/>
          <w:rFonts w:ascii="Times New Roman" w:hAnsi="Times New Roman" w:cs="Times New Roman"/>
          <w:sz w:val="24"/>
          <w:szCs w:val="24"/>
        </w:rPr>
        <w:footnoteReference w:id="146"/>
      </w:r>
      <w:r w:rsidR="004E3854">
        <w:rPr>
          <w:rFonts w:ascii="Times New Roman" w:hAnsi="Times New Roman" w:cs="Times New Roman"/>
          <w:sz w:val="24"/>
          <w:szCs w:val="24"/>
        </w:rPr>
        <w:t xml:space="preserve"> </w:t>
      </w:r>
      <w:r w:rsidR="006877D5" w:rsidRPr="00403E6A">
        <w:rPr>
          <w:rFonts w:ascii="Times New Roman" w:hAnsi="Times New Roman" w:cs="Times New Roman"/>
          <w:sz w:val="24"/>
          <w:szCs w:val="24"/>
        </w:rPr>
        <w:t xml:space="preserve">This can </w:t>
      </w:r>
      <w:r w:rsidR="00C869C1" w:rsidRPr="00403E6A">
        <w:rPr>
          <w:rFonts w:ascii="Times New Roman" w:hAnsi="Times New Roman" w:cs="Times New Roman"/>
          <w:sz w:val="24"/>
          <w:szCs w:val="24"/>
        </w:rPr>
        <w:t xml:space="preserve">cause a strain on resources that may be outside the bounds of </w:t>
      </w:r>
      <w:r w:rsidR="00807E25" w:rsidRPr="00403E6A">
        <w:rPr>
          <w:rFonts w:ascii="Times New Roman" w:hAnsi="Times New Roman" w:cs="Times New Roman"/>
          <w:sz w:val="24"/>
          <w:szCs w:val="24"/>
        </w:rPr>
        <w:t xml:space="preserve">the government’s </w:t>
      </w:r>
      <w:r w:rsidR="00C869C1" w:rsidRPr="00403E6A">
        <w:rPr>
          <w:rFonts w:ascii="Times New Roman" w:hAnsi="Times New Roman" w:cs="Times New Roman"/>
          <w:sz w:val="24"/>
          <w:szCs w:val="24"/>
        </w:rPr>
        <w:t>legal economy.</w:t>
      </w:r>
      <w:r w:rsidR="00BF5531" w:rsidRPr="00403E6A">
        <w:rPr>
          <w:rFonts w:ascii="Times New Roman" w:hAnsi="Times New Roman" w:cs="Times New Roman"/>
          <w:sz w:val="24"/>
          <w:szCs w:val="24"/>
        </w:rPr>
        <w:t xml:space="preserve"> </w:t>
      </w:r>
      <w:r w:rsidR="00EC4ABC" w:rsidRPr="00403E6A">
        <w:rPr>
          <w:rFonts w:ascii="Times New Roman" w:hAnsi="Times New Roman" w:cs="Times New Roman"/>
          <w:sz w:val="24"/>
          <w:szCs w:val="24"/>
        </w:rPr>
        <w:t>Additionally</w:t>
      </w:r>
      <w:r w:rsidR="00BF5531" w:rsidRPr="00403E6A">
        <w:rPr>
          <w:rFonts w:ascii="Times New Roman" w:hAnsi="Times New Roman" w:cs="Times New Roman"/>
          <w:sz w:val="24"/>
          <w:szCs w:val="24"/>
        </w:rPr>
        <w:t>, there are no special</w:t>
      </w:r>
      <w:r w:rsidR="00F7245D" w:rsidRPr="00403E6A">
        <w:rPr>
          <w:rFonts w:ascii="Times New Roman" w:hAnsi="Times New Roman" w:cs="Times New Roman"/>
          <w:sz w:val="24"/>
          <w:szCs w:val="24"/>
        </w:rPr>
        <w:t xml:space="preserve"> </w:t>
      </w:r>
      <w:r w:rsidR="00BF5531" w:rsidRPr="00403E6A">
        <w:rPr>
          <w:rFonts w:ascii="Times New Roman" w:hAnsi="Times New Roman" w:cs="Times New Roman"/>
          <w:sz w:val="24"/>
          <w:szCs w:val="24"/>
        </w:rPr>
        <w:t>antitrust laws for the health care industry</w:t>
      </w:r>
      <w:r w:rsidR="00DD0A66" w:rsidRPr="00403E6A">
        <w:rPr>
          <w:rFonts w:ascii="Times New Roman" w:hAnsi="Times New Roman" w:cs="Times New Roman"/>
          <w:sz w:val="24"/>
          <w:szCs w:val="24"/>
        </w:rPr>
        <w:t xml:space="preserve"> specifically.</w:t>
      </w:r>
      <w:r w:rsidR="00BF5531" w:rsidRPr="00403E6A">
        <w:rPr>
          <w:rFonts w:ascii="Times New Roman" w:hAnsi="Times New Roman" w:cs="Times New Roman"/>
          <w:sz w:val="24"/>
          <w:szCs w:val="24"/>
        </w:rPr>
        <w:t xml:space="preserve"> </w:t>
      </w:r>
      <w:r w:rsidR="00DD0A66" w:rsidRPr="00403E6A">
        <w:rPr>
          <w:rFonts w:ascii="Times New Roman" w:hAnsi="Times New Roman" w:cs="Times New Roman"/>
          <w:sz w:val="24"/>
          <w:szCs w:val="24"/>
        </w:rPr>
        <w:t>Leibenluft explained this dilemma</w:t>
      </w:r>
      <w:r w:rsidR="006A24AE" w:rsidRPr="00403E6A">
        <w:rPr>
          <w:rFonts w:ascii="Times New Roman" w:hAnsi="Times New Roman" w:cs="Times New Roman"/>
          <w:sz w:val="24"/>
          <w:szCs w:val="24"/>
        </w:rPr>
        <w:t>: “B</w:t>
      </w:r>
      <w:r w:rsidR="00BF5531" w:rsidRPr="00403E6A">
        <w:rPr>
          <w:rFonts w:ascii="Times New Roman" w:hAnsi="Times New Roman" w:cs="Times New Roman"/>
          <w:sz w:val="24"/>
          <w:szCs w:val="24"/>
        </w:rPr>
        <w:t>oth the courts and the</w:t>
      </w:r>
      <w:r w:rsidR="00F7245D" w:rsidRPr="00403E6A">
        <w:rPr>
          <w:rFonts w:ascii="Times New Roman" w:hAnsi="Times New Roman" w:cs="Times New Roman"/>
          <w:sz w:val="24"/>
          <w:szCs w:val="24"/>
        </w:rPr>
        <w:t xml:space="preserve"> </w:t>
      </w:r>
      <w:r w:rsidR="00BF5531" w:rsidRPr="00403E6A">
        <w:rPr>
          <w:rFonts w:ascii="Times New Roman" w:hAnsi="Times New Roman" w:cs="Times New Roman"/>
          <w:sz w:val="24"/>
          <w:szCs w:val="24"/>
        </w:rPr>
        <w:t>enforcers interpret the antitrust laws when applied to health care with the</w:t>
      </w:r>
      <w:r w:rsidR="00F7245D" w:rsidRPr="00403E6A">
        <w:rPr>
          <w:rFonts w:ascii="Times New Roman" w:hAnsi="Times New Roman" w:cs="Times New Roman"/>
          <w:sz w:val="24"/>
          <w:szCs w:val="24"/>
        </w:rPr>
        <w:t xml:space="preserve"> </w:t>
      </w:r>
      <w:r w:rsidR="00BF5531" w:rsidRPr="00403E6A">
        <w:rPr>
          <w:rFonts w:ascii="Times New Roman" w:hAnsi="Times New Roman" w:cs="Times New Roman"/>
          <w:sz w:val="24"/>
          <w:szCs w:val="24"/>
        </w:rPr>
        <w:t>knowledge that they are bound by precedent—and that their actions may</w:t>
      </w:r>
      <w:r w:rsidR="00F7245D" w:rsidRPr="00403E6A">
        <w:rPr>
          <w:rFonts w:ascii="Times New Roman" w:hAnsi="Times New Roman" w:cs="Times New Roman"/>
          <w:sz w:val="24"/>
          <w:szCs w:val="24"/>
        </w:rPr>
        <w:t xml:space="preserve"> </w:t>
      </w:r>
      <w:r w:rsidR="00BF5531" w:rsidRPr="00403E6A">
        <w:rPr>
          <w:rFonts w:ascii="Times New Roman" w:hAnsi="Times New Roman" w:cs="Times New Roman"/>
          <w:sz w:val="24"/>
          <w:szCs w:val="24"/>
        </w:rPr>
        <w:t>create precedent—in cases involving other industries.</w:t>
      </w:r>
      <w:r w:rsidR="006A24AE" w:rsidRPr="00403E6A">
        <w:rPr>
          <w:rFonts w:ascii="Times New Roman" w:hAnsi="Times New Roman" w:cs="Times New Roman"/>
          <w:sz w:val="24"/>
          <w:szCs w:val="24"/>
        </w:rPr>
        <w:t>”</w:t>
      </w:r>
      <w:r w:rsidR="008F1A37">
        <w:rPr>
          <w:rStyle w:val="FootnoteReference"/>
          <w:rFonts w:ascii="Times New Roman" w:hAnsi="Times New Roman" w:cs="Times New Roman"/>
          <w:sz w:val="24"/>
          <w:szCs w:val="24"/>
        </w:rPr>
        <w:footnoteReference w:id="147"/>
      </w:r>
      <w:r w:rsidR="00A27499" w:rsidRPr="00403E6A">
        <w:rPr>
          <w:rFonts w:ascii="Times New Roman" w:hAnsi="Times New Roman" w:cs="Times New Roman"/>
          <w:sz w:val="24"/>
          <w:szCs w:val="24"/>
        </w:rPr>
        <w:t xml:space="preserve"> </w:t>
      </w:r>
      <w:r w:rsidR="00795FC7" w:rsidRPr="00403E6A">
        <w:rPr>
          <w:rFonts w:ascii="Times New Roman" w:hAnsi="Times New Roman" w:cs="Times New Roman"/>
          <w:sz w:val="24"/>
          <w:szCs w:val="24"/>
        </w:rPr>
        <w:t xml:space="preserve">Therefore, the uniqueness and complexity of the health care industry has </w:t>
      </w:r>
      <w:r w:rsidR="00BD1BDC" w:rsidRPr="00403E6A">
        <w:rPr>
          <w:rFonts w:ascii="Times New Roman" w:hAnsi="Times New Roman" w:cs="Times New Roman"/>
          <w:sz w:val="24"/>
          <w:szCs w:val="24"/>
        </w:rPr>
        <w:t xml:space="preserve">disincentivized courts to pursue stricter holdings </w:t>
      </w:r>
      <w:r w:rsidR="00244C73">
        <w:rPr>
          <w:rFonts w:ascii="Times New Roman" w:hAnsi="Times New Roman" w:cs="Times New Roman"/>
          <w:sz w:val="24"/>
          <w:szCs w:val="24"/>
        </w:rPr>
        <w:t>in cases relating to</w:t>
      </w:r>
      <w:r w:rsidR="00BD1BDC" w:rsidRPr="00403E6A">
        <w:rPr>
          <w:rFonts w:ascii="Times New Roman" w:hAnsi="Times New Roman" w:cs="Times New Roman"/>
          <w:sz w:val="24"/>
          <w:szCs w:val="24"/>
        </w:rPr>
        <w:t xml:space="preserve"> </w:t>
      </w:r>
      <w:r w:rsidR="00933E60">
        <w:rPr>
          <w:rFonts w:ascii="Times New Roman" w:hAnsi="Times New Roman" w:cs="Times New Roman"/>
          <w:sz w:val="24"/>
          <w:szCs w:val="24"/>
        </w:rPr>
        <w:t>provider mergers</w:t>
      </w:r>
      <w:r w:rsidR="00BD1BDC" w:rsidRPr="00403E6A">
        <w:rPr>
          <w:rFonts w:ascii="Times New Roman" w:hAnsi="Times New Roman" w:cs="Times New Roman"/>
          <w:sz w:val="24"/>
          <w:szCs w:val="24"/>
        </w:rPr>
        <w:t>.</w:t>
      </w:r>
      <w:r w:rsidR="00854DA0" w:rsidRPr="00403E6A">
        <w:rPr>
          <w:rFonts w:ascii="Times New Roman" w:hAnsi="Times New Roman" w:cs="Times New Roman"/>
          <w:sz w:val="24"/>
          <w:szCs w:val="24"/>
        </w:rPr>
        <w:t xml:space="preserve"> </w:t>
      </w:r>
      <w:r w:rsidR="00061BDA" w:rsidRPr="00403E6A">
        <w:rPr>
          <w:rFonts w:ascii="Times New Roman" w:hAnsi="Times New Roman" w:cs="Times New Roman"/>
          <w:sz w:val="24"/>
          <w:szCs w:val="24"/>
        </w:rPr>
        <w:t>According to Leibenluft, i</w:t>
      </w:r>
      <w:r w:rsidR="00854DA0" w:rsidRPr="00403E6A">
        <w:rPr>
          <w:rFonts w:ascii="Times New Roman" w:hAnsi="Times New Roman" w:cs="Times New Roman"/>
          <w:sz w:val="24"/>
          <w:szCs w:val="24"/>
        </w:rPr>
        <w:t xml:space="preserve">t has also </w:t>
      </w:r>
      <w:r w:rsidR="00541B28" w:rsidRPr="00403E6A">
        <w:rPr>
          <w:rFonts w:ascii="Times New Roman" w:hAnsi="Times New Roman" w:cs="Times New Roman"/>
          <w:sz w:val="24"/>
          <w:szCs w:val="24"/>
        </w:rPr>
        <w:t>influenced</w:t>
      </w:r>
      <w:r w:rsidR="00854DA0" w:rsidRPr="00403E6A">
        <w:rPr>
          <w:rFonts w:ascii="Times New Roman" w:hAnsi="Times New Roman" w:cs="Times New Roman"/>
          <w:sz w:val="24"/>
          <w:szCs w:val="24"/>
        </w:rPr>
        <w:t xml:space="preserve"> </w:t>
      </w:r>
      <w:r w:rsidR="003C6FB5" w:rsidRPr="00403E6A">
        <w:rPr>
          <w:rFonts w:ascii="Times New Roman" w:hAnsi="Times New Roman" w:cs="Times New Roman"/>
          <w:sz w:val="24"/>
          <w:szCs w:val="24"/>
        </w:rPr>
        <w:t xml:space="preserve">law enforcement’s </w:t>
      </w:r>
      <w:r w:rsidR="00061BDA" w:rsidRPr="00403E6A">
        <w:rPr>
          <w:rFonts w:ascii="Times New Roman" w:hAnsi="Times New Roman" w:cs="Times New Roman"/>
          <w:sz w:val="24"/>
          <w:szCs w:val="24"/>
        </w:rPr>
        <w:t>pursuit of antitrust</w:t>
      </w:r>
      <w:r w:rsidR="00C736EA" w:rsidRPr="00403E6A">
        <w:rPr>
          <w:rFonts w:ascii="Times New Roman" w:hAnsi="Times New Roman" w:cs="Times New Roman"/>
          <w:sz w:val="24"/>
          <w:szCs w:val="24"/>
        </w:rPr>
        <w:t xml:space="preserve"> claims:</w:t>
      </w:r>
      <w:r w:rsidR="00854DA0" w:rsidRPr="00403E6A">
        <w:rPr>
          <w:rFonts w:ascii="Times New Roman" w:hAnsi="Times New Roman" w:cs="Times New Roman"/>
          <w:sz w:val="24"/>
          <w:szCs w:val="24"/>
        </w:rPr>
        <w:t xml:space="preserve"> </w:t>
      </w:r>
      <w:r w:rsidR="006C27F4" w:rsidRPr="00403E6A">
        <w:rPr>
          <w:rFonts w:ascii="Times New Roman" w:hAnsi="Times New Roman" w:cs="Times New Roman"/>
          <w:sz w:val="24"/>
          <w:szCs w:val="24"/>
        </w:rPr>
        <w:t>“</w:t>
      </w:r>
      <w:r w:rsidR="00CE3683" w:rsidRPr="00403E6A">
        <w:rPr>
          <w:rFonts w:ascii="Times New Roman" w:hAnsi="Times New Roman" w:cs="Times New Roman"/>
          <w:sz w:val="24"/>
          <w:szCs w:val="24"/>
        </w:rPr>
        <w:t>T</w:t>
      </w:r>
      <w:r w:rsidR="00BF5531" w:rsidRPr="00403E6A">
        <w:rPr>
          <w:rFonts w:ascii="Times New Roman" w:hAnsi="Times New Roman" w:cs="Times New Roman"/>
          <w:sz w:val="24"/>
          <w:szCs w:val="24"/>
        </w:rPr>
        <w:t>he application of antitrust law to any particular set of circumstances is often a difficult</w:t>
      </w:r>
      <w:r w:rsidR="00F7245D" w:rsidRPr="00403E6A">
        <w:rPr>
          <w:rFonts w:ascii="Times New Roman" w:hAnsi="Times New Roman" w:cs="Times New Roman"/>
          <w:sz w:val="24"/>
          <w:szCs w:val="24"/>
        </w:rPr>
        <w:t xml:space="preserve"> </w:t>
      </w:r>
      <w:r w:rsidR="00BF5531" w:rsidRPr="00403E6A">
        <w:rPr>
          <w:rFonts w:ascii="Times New Roman" w:hAnsi="Times New Roman" w:cs="Times New Roman"/>
          <w:sz w:val="24"/>
          <w:szCs w:val="24"/>
        </w:rPr>
        <w:t>task and is particularly so in the health care sector given the overlay of</w:t>
      </w:r>
      <w:r w:rsidR="00F7245D" w:rsidRPr="00403E6A">
        <w:rPr>
          <w:rFonts w:ascii="Times New Roman" w:hAnsi="Times New Roman" w:cs="Times New Roman"/>
          <w:sz w:val="24"/>
          <w:szCs w:val="24"/>
        </w:rPr>
        <w:t xml:space="preserve"> </w:t>
      </w:r>
      <w:r w:rsidR="00BF5531" w:rsidRPr="00403E6A">
        <w:rPr>
          <w:rFonts w:ascii="Times New Roman" w:hAnsi="Times New Roman" w:cs="Times New Roman"/>
          <w:sz w:val="24"/>
          <w:szCs w:val="24"/>
        </w:rPr>
        <w:t>regulation, agency relationships, asymmetrical information, government</w:t>
      </w:r>
      <w:r w:rsidR="00F7245D" w:rsidRPr="00403E6A">
        <w:rPr>
          <w:rFonts w:ascii="Times New Roman" w:hAnsi="Times New Roman" w:cs="Times New Roman"/>
          <w:sz w:val="24"/>
          <w:szCs w:val="24"/>
        </w:rPr>
        <w:t xml:space="preserve"> </w:t>
      </w:r>
      <w:r w:rsidR="00BF5531" w:rsidRPr="00403E6A">
        <w:rPr>
          <w:rFonts w:ascii="Times New Roman" w:hAnsi="Times New Roman" w:cs="Times New Roman"/>
          <w:sz w:val="24"/>
          <w:szCs w:val="24"/>
        </w:rPr>
        <w:t>payment, and other factors that result in various market failures.</w:t>
      </w:r>
      <w:r w:rsidR="006C27F4" w:rsidRPr="00403E6A">
        <w:rPr>
          <w:rFonts w:ascii="Times New Roman" w:hAnsi="Times New Roman" w:cs="Times New Roman"/>
          <w:sz w:val="24"/>
          <w:szCs w:val="24"/>
        </w:rPr>
        <w:t>”</w:t>
      </w:r>
      <w:r w:rsidR="003A7A23">
        <w:rPr>
          <w:rStyle w:val="FootnoteReference"/>
          <w:rFonts w:ascii="Times New Roman" w:hAnsi="Times New Roman" w:cs="Times New Roman"/>
          <w:sz w:val="24"/>
          <w:szCs w:val="24"/>
        </w:rPr>
        <w:footnoteReference w:id="148"/>
      </w:r>
      <w:r w:rsidR="00F7245D" w:rsidRPr="00403E6A">
        <w:rPr>
          <w:rFonts w:ascii="Times New Roman" w:hAnsi="Times New Roman" w:cs="Times New Roman"/>
          <w:sz w:val="24"/>
          <w:szCs w:val="24"/>
        </w:rPr>
        <w:t xml:space="preserve"> </w:t>
      </w:r>
      <w:r w:rsidR="0051032A" w:rsidRPr="00403E6A">
        <w:rPr>
          <w:rFonts w:ascii="Times New Roman" w:hAnsi="Times New Roman" w:cs="Times New Roman"/>
          <w:sz w:val="24"/>
          <w:szCs w:val="24"/>
        </w:rPr>
        <w:t xml:space="preserve">  </w:t>
      </w:r>
    </w:p>
    <w:p w14:paraId="7B12AB8E" w14:textId="412B5B87" w:rsidR="00BD631E" w:rsidRPr="00403E6A" w:rsidRDefault="00610EFE" w:rsidP="00BD631E">
      <w:pPr>
        <w:pStyle w:val="ListParagraph"/>
        <w:numPr>
          <w:ilvl w:val="0"/>
          <w:numId w:val="1"/>
        </w:numPr>
        <w:spacing w:after="0" w:line="480" w:lineRule="auto"/>
        <w:rPr>
          <w:rFonts w:ascii="Times New Roman" w:hAnsi="Times New Roman" w:cs="Times New Roman"/>
          <w:b/>
          <w:bCs/>
          <w:sz w:val="24"/>
          <w:szCs w:val="24"/>
        </w:rPr>
      </w:pPr>
      <w:r w:rsidRPr="00403E6A">
        <w:rPr>
          <w:rFonts w:ascii="Times New Roman" w:hAnsi="Times New Roman" w:cs="Times New Roman"/>
          <w:b/>
          <w:bCs/>
          <w:sz w:val="24"/>
          <w:szCs w:val="24"/>
        </w:rPr>
        <w:t>Addressing the Propos</w:t>
      </w:r>
      <w:r w:rsidR="00BD631E" w:rsidRPr="00403E6A">
        <w:rPr>
          <w:rFonts w:ascii="Times New Roman" w:hAnsi="Times New Roman" w:cs="Times New Roman"/>
          <w:b/>
          <w:bCs/>
          <w:sz w:val="24"/>
          <w:szCs w:val="24"/>
        </w:rPr>
        <w:t>ed</w:t>
      </w:r>
      <w:r w:rsidRPr="00403E6A">
        <w:rPr>
          <w:rFonts w:ascii="Times New Roman" w:hAnsi="Times New Roman" w:cs="Times New Roman"/>
          <w:b/>
          <w:bCs/>
          <w:sz w:val="24"/>
          <w:szCs w:val="24"/>
        </w:rPr>
        <w:t xml:space="preserve"> Solutions to </w:t>
      </w:r>
      <w:r w:rsidR="00BD631E" w:rsidRPr="00403E6A">
        <w:rPr>
          <w:rFonts w:ascii="Times New Roman" w:hAnsi="Times New Roman" w:cs="Times New Roman"/>
          <w:b/>
          <w:bCs/>
          <w:sz w:val="24"/>
          <w:szCs w:val="24"/>
        </w:rPr>
        <w:t xml:space="preserve">Health Care’s </w:t>
      </w:r>
      <w:r w:rsidRPr="00403E6A">
        <w:rPr>
          <w:rFonts w:ascii="Times New Roman" w:hAnsi="Times New Roman" w:cs="Times New Roman"/>
          <w:b/>
          <w:bCs/>
          <w:sz w:val="24"/>
          <w:szCs w:val="24"/>
        </w:rPr>
        <w:t>High Prices</w:t>
      </w:r>
    </w:p>
    <w:p w14:paraId="37631067" w14:textId="0D6A8670" w:rsidR="00BD631E" w:rsidRPr="00403E6A" w:rsidRDefault="002D4705" w:rsidP="00BD631E">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r>
      <w:r w:rsidR="00921463">
        <w:rPr>
          <w:rFonts w:ascii="Times New Roman" w:hAnsi="Times New Roman" w:cs="Times New Roman"/>
          <w:sz w:val="24"/>
          <w:szCs w:val="24"/>
        </w:rPr>
        <w:t xml:space="preserve">Fortunately, despite </w:t>
      </w:r>
      <w:r w:rsidR="00752982">
        <w:rPr>
          <w:rFonts w:ascii="Times New Roman" w:hAnsi="Times New Roman" w:cs="Times New Roman"/>
          <w:sz w:val="24"/>
          <w:szCs w:val="24"/>
        </w:rPr>
        <w:t>the enduring nature of concentrated provider markets,</w:t>
      </w:r>
      <w:r w:rsidR="00C35F0E" w:rsidRPr="00403E6A">
        <w:rPr>
          <w:rFonts w:ascii="Times New Roman" w:hAnsi="Times New Roman" w:cs="Times New Roman"/>
          <w:sz w:val="24"/>
          <w:szCs w:val="24"/>
        </w:rPr>
        <w:t xml:space="preserve"> solutions have been proposed to </w:t>
      </w:r>
      <w:r w:rsidR="00DF13E4" w:rsidRPr="00403E6A">
        <w:rPr>
          <w:rFonts w:ascii="Times New Roman" w:hAnsi="Times New Roman" w:cs="Times New Roman"/>
          <w:sz w:val="24"/>
          <w:szCs w:val="24"/>
        </w:rPr>
        <w:t xml:space="preserve">address </w:t>
      </w:r>
      <w:r w:rsidR="000E3858" w:rsidRPr="00403E6A">
        <w:rPr>
          <w:rFonts w:ascii="Times New Roman" w:hAnsi="Times New Roman" w:cs="Times New Roman"/>
          <w:sz w:val="24"/>
          <w:szCs w:val="24"/>
        </w:rPr>
        <w:t xml:space="preserve">them. </w:t>
      </w:r>
      <w:r w:rsidR="00D40937" w:rsidRPr="00403E6A">
        <w:rPr>
          <w:rFonts w:ascii="Times New Roman" w:hAnsi="Times New Roman" w:cs="Times New Roman"/>
          <w:sz w:val="24"/>
          <w:szCs w:val="24"/>
        </w:rPr>
        <w:t>Notably, Senator Bernie Sanders ran presidential campaign</w:t>
      </w:r>
      <w:r w:rsidR="00822FDE" w:rsidRPr="00403E6A">
        <w:rPr>
          <w:rFonts w:ascii="Times New Roman" w:hAnsi="Times New Roman" w:cs="Times New Roman"/>
          <w:sz w:val="24"/>
          <w:szCs w:val="24"/>
        </w:rPr>
        <w:t>s</w:t>
      </w:r>
      <w:r w:rsidR="00D40937" w:rsidRPr="00403E6A">
        <w:rPr>
          <w:rFonts w:ascii="Times New Roman" w:hAnsi="Times New Roman" w:cs="Times New Roman"/>
          <w:sz w:val="24"/>
          <w:szCs w:val="24"/>
        </w:rPr>
        <w:t xml:space="preserve"> </w:t>
      </w:r>
      <w:r w:rsidR="00822FDE" w:rsidRPr="00403E6A">
        <w:rPr>
          <w:rFonts w:ascii="Times New Roman" w:hAnsi="Times New Roman" w:cs="Times New Roman"/>
          <w:sz w:val="24"/>
          <w:szCs w:val="24"/>
        </w:rPr>
        <w:t xml:space="preserve">in 2016 and 2020 </w:t>
      </w:r>
      <w:r w:rsidR="008C03FD" w:rsidRPr="00403E6A">
        <w:rPr>
          <w:rFonts w:ascii="Times New Roman" w:hAnsi="Times New Roman" w:cs="Times New Roman"/>
          <w:sz w:val="24"/>
          <w:szCs w:val="24"/>
        </w:rPr>
        <w:t xml:space="preserve">largely around his proposal to </w:t>
      </w:r>
      <w:r w:rsidR="000A3D2E" w:rsidRPr="00403E6A">
        <w:rPr>
          <w:rFonts w:ascii="Times New Roman" w:hAnsi="Times New Roman" w:cs="Times New Roman"/>
          <w:sz w:val="24"/>
          <w:szCs w:val="24"/>
        </w:rPr>
        <w:t xml:space="preserve">expand </w:t>
      </w:r>
      <w:r w:rsidR="00F669F4" w:rsidRPr="00403E6A">
        <w:rPr>
          <w:rFonts w:ascii="Times New Roman" w:hAnsi="Times New Roman" w:cs="Times New Roman"/>
          <w:sz w:val="24"/>
          <w:szCs w:val="24"/>
        </w:rPr>
        <w:t xml:space="preserve">a revised </w:t>
      </w:r>
      <w:r w:rsidR="00836489" w:rsidRPr="00403E6A">
        <w:rPr>
          <w:rFonts w:ascii="Times New Roman" w:hAnsi="Times New Roman" w:cs="Times New Roman"/>
          <w:sz w:val="24"/>
          <w:szCs w:val="24"/>
        </w:rPr>
        <w:t>version of</w:t>
      </w:r>
      <w:r w:rsidR="000A3D2E" w:rsidRPr="00403E6A">
        <w:rPr>
          <w:rFonts w:ascii="Times New Roman" w:hAnsi="Times New Roman" w:cs="Times New Roman"/>
          <w:sz w:val="24"/>
          <w:szCs w:val="24"/>
        </w:rPr>
        <w:t xml:space="preserve"> Medicare to all American citizens. </w:t>
      </w:r>
      <w:r w:rsidR="00D22D25">
        <w:rPr>
          <w:rFonts w:ascii="Times New Roman" w:hAnsi="Times New Roman" w:cs="Times New Roman"/>
          <w:sz w:val="24"/>
          <w:szCs w:val="24"/>
        </w:rPr>
        <w:t xml:space="preserve">The </w:t>
      </w:r>
      <w:r w:rsidR="000A77A9">
        <w:rPr>
          <w:rFonts w:ascii="Times New Roman" w:hAnsi="Times New Roman" w:cs="Times New Roman"/>
          <w:sz w:val="24"/>
          <w:szCs w:val="24"/>
        </w:rPr>
        <w:t xml:space="preserve">Medicare </w:t>
      </w:r>
      <w:r w:rsidR="00A048E9">
        <w:rPr>
          <w:rFonts w:ascii="Times New Roman" w:hAnsi="Times New Roman" w:cs="Times New Roman"/>
          <w:sz w:val="24"/>
          <w:szCs w:val="24"/>
        </w:rPr>
        <w:t>for</w:t>
      </w:r>
      <w:r w:rsidR="000A77A9">
        <w:rPr>
          <w:rFonts w:ascii="Times New Roman" w:hAnsi="Times New Roman" w:cs="Times New Roman"/>
          <w:sz w:val="24"/>
          <w:szCs w:val="24"/>
        </w:rPr>
        <w:t xml:space="preserve"> All Act of 2019</w:t>
      </w:r>
      <w:r w:rsidR="00F8384A">
        <w:rPr>
          <w:rFonts w:ascii="Times New Roman" w:hAnsi="Times New Roman" w:cs="Times New Roman"/>
          <w:sz w:val="24"/>
          <w:szCs w:val="24"/>
        </w:rPr>
        <w:t xml:space="preserve">, which </w:t>
      </w:r>
      <w:r w:rsidR="000A77A9">
        <w:rPr>
          <w:rFonts w:ascii="Times New Roman" w:hAnsi="Times New Roman" w:cs="Times New Roman"/>
          <w:sz w:val="24"/>
          <w:szCs w:val="24"/>
        </w:rPr>
        <w:t xml:space="preserve">is the version </w:t>
      </w:r>
      <w:r w:rsidR="00D22D25">
        <w:rPr>
          <w:rFonts w:ascii="Times New Roman" w:hAnsi="Times New Roman" w:cs="Times New Roman"/>
          <w:sz w:val="24"/>
          <w:szCs w:val="24"/>
        </w:rPr>
        <w:t xml:space="preserve">Senator Sanders </w:t>
      </w:r>
      <w:r w:rsidR="00F8384A">
        <w:rPr>
          <w:rFonts w:ascii="Times New Roman" w:hAnsi="Times New Roman" w:cs="Times New Roman"/>
          <w:sz w:val="24"/>
          <w:szCs w:val="24"/>
        </w:rPr>
        <w:t>last proposed,</w:t>
      </w:r>
      <w:r w:rsidR="00940707" w:rsidRPr="00403E6A">
        <w:rPr>
          <w:rFonts w:ascii="Times New Roman" w:hAnsi="Times New Roman" w:cs="Times New Roman"/>
          <w:sz w:val="24"/>
          <w:szCs w:val="24"/>
        </w:rPr>
        <w:t xml:space="preserve"> would largely do away with </w:t>
      </w:r>
      <w:r w:rsidR="00572557" w:rsidRPr="00403E6A">
        <w:rPr>
          <w:rFonts w:ascii="Times New Roman" w:hAnsi="Times New Roman" w:cs="Times New Roman"/>
          <w:sz w:val="24"/>
          <w:szCs w:val="24"/>
        </w:rPr>
        <w:t>private insurance</w:t>
      </w:r>
      <w:r w:rsidR="001A09EE" w:rsidRPr="00403E6A">
        <w:rPr>
          <w:rFonts w:ascii="Times New Roman" w:hAnsi="Times New Roman" w:cs="Times New Roman"/>
          <w:sz w:val="24"/>
          <w:szCs w:val="24"/>
        </w:rPr>
        <w:t xml:space="preserve"> and consolidate almost all public plans into one</w:t>
      </w:r>
      <w:r w:rsidR="002C76D8" w:rsidRPr="00403E6A">
        <w:rPr>
          <w:rFonts w:ascii="Times New Roman" w:hAnsi="Times New Roman" w:cs="Times New Roman"/>
          <w:sz w:val="24"/>
          <w:szCs w:val="24"/>
        </w:rPr>
        <w:t>.</w:t>
      </w:r>
      <w:r w:rsidR="00915CF4">
        <w:rPr>
          <w:rStyle w:val="FootnoteReference"/>
          <w:rFonts w:ascii="Times New Roman" w:hAnsi="Times New Roman" w:cs="Times New Roman"/>
          <w:sz w:val="24"/>
          <w:szCs w:val="24"/>
        </w:rPr>
        <w:footnoteReference w:id="149"/>
      </w:r>
      <w:r w:rsidR="002C76D8" w:rsidRPr="00403E6A">
        <w:rPr>
          <w:rFonts w:ascii="Times New Roman" w:hAnsi="Times New Roman" w:cs="Times New Roman"/>
          <w:sz w:val="24"/>
          <w:szCs w:val="24"/>
        </w:rPr>
        <w:t xml:space="preserve"> </w:t>
      </w:r>
      <w:r w:rsidR="00CB24EB" w:rsidRPr="00403E6A">
        <w:rPr>
          <w:rFonts w:ascii="Times New Roman" w:hAnsi="Times New Roman" w:cs="Times New Roman"/>
          <w:sz w:val="24"/>
          <w:szCs w:val="24"/>
        </w:rPr>
        <w:t>President Joe Biden ran his 2020 presidential campaign on a proposal</w:t>
      </w:r>
      <w:r w:rsidR="004D1C45" w:rsidRPr="00403E6A">
        <w:rPr>
          <w:rFonts w:ascii="Times New Roman" w:hAnsi="Times New Roman" w:cs="Times New Roman"/>
          <w:sz w:val="24"/>
          <w:szCs w:val="24"/>
        </w:rPr>
        <w:t xml:space="preserve">, </w:t>
      </w:r>
      <w:r w:rsidR="004D1C45" w:rsidRPr="00A048E9">
        <w:rPr>
          <w:rFonts w:ascii="Times New Roman" w:hAnsi="Times New Roman" w:cs="Times New Roman"/>
          <w:i/>
          <w:iCs/>
          <w:sz w:val="24"/>
          <w:szCs w:val="24"/>
        </w:rPr>
        <w:t>inter alia</w:t>
      </w:r>
      <w:r w:rsidR="004D1C45" w:rsidRPr="00403E6A">
        <w:rPr>
          <w:rFonts w:ascii="Times New Roman" w:hAnsi="Times New Roman" w:cs="Times New Roman"/>
          <w:sz w:val="24"/>
          <w:szCs w:val="24"/>
        </w:rPr>
        <w:t>,</w:t>
      </w:r>
      <w:r w:rsidR="00CB24EB" w:rsidRPr="00403E6A">
        <w:rPr>
          <w:rFonts w:ascii="Times New Roman" w:hAnsi="Times New Roman" w:cs="Times New Roman"/>
          <w:sz w:val="24"/>
          <w:szCs w:val="24"/>
        </w:rPr>
        <w:t xml:space="preserve"> </w:t>
      </w:r>
      <w:r w:rsidR="005C64A2" w:rsidRPr="00403E6A">
        <w:rPr>
          <w:rFonts w:ascii="Times New Roman" w:hAnsi="Times New Roman" w:cs="Times New Roman"/>
          <w:sz w:val="24"/>
          <w:szCs w:val="24"/>
        </w:rPr>
        <w:t>t</w:t>
      </w:r>
      <w:r w:rsidR="004D1C45" w:rsidRPr="00403E6A">
        <w:rPr>
          <w:rFonts w:ascii="Times New Roman" w:hAnsi="Times New Roman" w:cs="Times New Roman"/>
          <w:sz w:val="24"/>
          <w:szCs w:val="24"/>
        </w:rPr>
        <w:t xml:space="preserve">hat </w:t>
      </w:r>
      <w:r w:rsidR="004D1C45" w:rsidRPr="00403E6A">
        <w:rPr>
          <w:rFonts w:ascii="Times New Roman" w:hAnsi="Times New Roman" w:cs="Times New Roman"/>
          <w:sz w:val="24"/>
          <w:szCs w:val="24"/>
        </w:rPr>
        <w:lastRenderedPageBreak/>
        <w:t>would</w:t>
      </w:r>
      <w:r w:rsidR="005C64A2" w:rsidRPr="00403E6A">
        <w:rPr>
          <w:rFonts w:ascii="Times New Roman" w:hAnsi="Times New Roman" w:cs="Times New Roman"/>
          <w:sz w:val="24"/>
          <w:szCs w:val="24"/>
        </w:rPr>
        <w:t xml:space="preserve"> </w:t>
      </w:r>
      <w:r w:rsidR="00B478D9" w:rsidRPr="00403E6A">
        <w:rPr>
          <w:rFonts w:ascii="Times New Roman" w:hAnsi="Times New Roman" w:cs="Times New Roman"/>
          <w:sz w:val="24"/>
          <w:szCs w:val="24"/>
        </w:rPr>
        <w:t xml:space="preserve">offer </w:t>
      </w:r>
      <w:r w:rsidR="002004C6" w:rsidRPr="00403E6A">
        <w:rPr>
          <w:rFonts w:ascii="Times New Roman" w:hAnsi="Times New Roman" w:cs="Times New Roman"/>
          <w:sz w:val="24"/>
          <w:szCs w:val="24"/>
        </w:rPr>
        <w:t xml:space="preserve">a public </w:t>
      </w:r>
      <w:r w:rsidR="00B478D9" w:rsidRPr="00403E6A">
        <w:rPr>
          <w:rFonts w:ascii="Times New Roman" w:hAnsi="Times New Roman" w:cs="Times New Roman"/>
          <w:sz w:val="24"/>
          <w:szCs w:val="24"/>
        </w:rPr>
        <w:t xml:space="preserve">insurance </w:t>
      </w:r>
      <w:r w:rsidR="002004C6" w:rsidRPr="00403E6A">
        <w:rPr>
          <w:rFonts w:ascii="Times New Roman" w:hAnsi="Times New Roman" w:cs="Times New Roman"/>
          <w:sz w:val="24"/>
          <w:szCs w:val="24"/>
        </w:rPr>
        <w:t xml:space="preserve">option to Americans, </w:t>
      </w:r>
      <w:r w:rsidR="00361DF4" w:rsidRPr="00403E6A">
        <w:rPr>
          <w:rFonts w:ascii="Times New Roman" w:hAnsi="Times New Roman" w:cs="Times New Roman"/>
          <w:sz w:val="24"/>
          <w:szCs w:val="24"/>
        </w:rPr>
        <w:t xml:space="preserve">while opting </w:t>
      </w:r>
      <w:r w:rsidR="00966651" w:rsidRPr="00403E6A">
        <w:rPr>
          <w:rFonts w:ascii="Times New Roman" w:hAnsi="Times New Roman" w:cs="Times New Roman"/>
          <w:sz w:val="24"/>
          <w:szCs w:val="24"/>
        </w:rPr>
        <w:t xml:space="preserve">qualified </w:t>
      </w:r>
      <w:r w:rsidR="00EF568C" w:rsidRPr="00403E6A">
        <w:rPr>
          <w:rFonts w:ascii="Times New Roman" w:hAnsi="Times New Roman" w:cs="Times New Roman"/>
          <w:sz w:val="24"/>
          <w:szCs w:val="24"/>
        </w:rPr>
        <w:t xml:space="preserve">citizens whose states </w:t>
      </w:r>
      <w:r w:rsidR="00B83C20">
        <w:rPr>
          <w:rFonts w:ascii="Times New Roman" w:hAnsi="Times New Roman" w:cs="Times New Roman"/>
          <w:sz w:val="24"/>
          <w:szCs w:val="24"/>
        </w:rPr>
        <w:t xml:space="preserve">have </w:t>
      </w:r>
      <w:r w:rsidR="00EF568C" w:rsidRPr="00403E6A">
        <w:rPr>
          <w:rFonts w:ascii="Times New Roman" w:hAnsi="Times New Roman" w:cs="Times New Roman"/>
          <w:sz w:val="24"/>
          <w:szCs w:val="24"/>
        </w:rPr>
        <w:t>decided against Medicaid Expansion</w:t>
      </w:r>
      <w:r w:rsidR="00966651" w:rsidRPr="00403E6A">
        <w:rPr>
          <w:rFonts w:ascii="Times New Roman" w:hAnsi="Times New Roman" w:cs="Times New Roman"/>
          <w:sz w:val="24"/>
          <w:szCs w:val="24"/>
        </w:rPr>
        <w:t xml:space="preserve"> </w:t>
      </w:r>
      <w:r w:rsidR="00EF568C" w:rsidRPr="00403E6A">
        <w:rPr>
          <w:rFonts w:ascii="Times New Roman" w:hAnsi="Times New Roman" w:cs="Times New Roman"/>
          <w:sz w:val="24"/>
          <w:szCs w:val="24"/>
        </w:rPr>
        <w:t>into</w:t>
      </w:r>
      <w:r w:rsidR="00966651" w:rsidRPr="00403E6A">
        <w:rPr>
          <w:rFonts w:ascii="Times New Roman" w:hAnsi="Times New Roman" w:cs="Times New Roman"/>
          <w:sz w:val="24"/>
          <w:szCs w:val="24"/>
        </w:rPr>
        <w:t xml:space="preserve"> the public option.</w:t>
      </w:r>
      <w:r w:rsidR="00BB0E14">
        <w:rPr>
          <w:rStyle w:val="FootnoteReference"/>
          <w:rFonts w:ascii="Times New Roman" w:hAnsi="Times New Roman" w:cs="Times New Roman"/>
          <w:sz w:val="24"/>
          <w:szCs w:val="24"/>
        </w:rPr>
        <w:footnoteReference w:id="150"/>
      </w:r>
      <w:r w:rsidR="00966651" w:rsidRPr="00403E6A">
        <w:rPr>
          <w:rFonts w:ascii="Times New Roman" w:hAnsi="Times New Roman" w:cs="Times New Roman"/>
          <w:sz w:val="24"/>
          <w:szCs w:val="24"/>
        </w:rPr>
        <w:t xml:space="preserve"> </w:t>
      </w:r>
    </w:p>
    <w:p w14:paraId="0A792E74" w14:textId="7A9D57A1" w:rsidR="00E124EA" w:rsidRPr="00403E6A" w:rsidRDefault="00E124EA" w:rsidP="00BD631E">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r>
      <w:r w:rsidR="00056141" w:rsidRPr="00403E6A">
        <w:rPr>
          <w:rFonts w:ascii="Times New Roman" w:hAnsi="Times New Roman" w:cs="Times New Roman"/>
          <w:sz w:val="24"/>
          <w:szCs w:val="24"/>
        </w:rPr>
        <w:t xml:space="preserve">Those on the other end of the political spectrum have proposed </w:t>
      </w:r>
      <w:r w:rsidR="00C7491E" w:rsidRPr="00403E6A">
        <w:rPr>
          <w:rFonts w:ascii="Times New Roman" w:hAnsi="Times New Roman" w:cs="Times New Roman"/>
          <w:sz w:val="24"/>
          <w:szCs w:val="24"/>
        </w:rPr>
        <w:t xml:space="preserve">ideas </w:t>
      </w:r>
      <w:r w:rsidR="00284156" w:rsidRPr="00403E6A">
        <w:rPr>
          <w:rFonts w:ascii="Times New Roman" w:hAnsi="Times New Roman" w:cs="Times New Roman"/>
          <w:sz w:val="24"/>
          <w:szCs w:val="24"/>
        </w:rPr>
        <w:t>that in practice take a more piecemeal approach to solving the issu</w:t>
      </w:r>
      <w:r w:rsidR="009C4BC8" w:rsidRPr="00403E6A">
        <w:rPr>
          <w:rFonts w:ascii="Times New Roman" w:hAnsi="Times New Roman" w:cs="Times New Roman"/>
          <w:sz w:val="24"/>
          <w:szCs w:val="24"/>
        </w:rPr>
        <w:t>e</w:t>
      </w:r>
      <w:r w:rsidR="00284156" w:rsidRPr="00403E6A">
        <w:rPr>
          <w:rFonts w:ascii="Times New Roman" w:hAnsi="Times New Roman" w:cs="Times New Roman"/>
          <w:sz w:val="24"/>
          <w:szCs w:val="24"/>
        </w:rPr>
        <w:t xml:space="preserve"> of price and consolidation. Avik Roy, who is a former adviser </w:t>
      </w:r>
      <w:r w:rsidR="00640953" w:rsidRPr="00403E6A">
        <w:rPr>
          <w:rFonts w:ascii="Times New Roman" w:hAnsi="Times New Roman" w:cs="Times New Roman"/>
          <w:sz w:val="24"/>
          <w:szCs w:val="24"/>
        </w:rPr>
        <w:t>to the Mitt Romney and Marco Rubio presidential campaigns</w:t>
      </w:r>
      <w:r w:rsidR="00A048E9">
        <w:rPr>
          <w:rFonts w:ascii="Times New Roman" w:hAnsi="Times New Roman" w:cs="Times New Roman"/>
          <w:sz w:val="24"/>
          <w:szCs w:val="24"/>
        </w:rPr>
        <w:t>,</w:t>
      </w:r>
      <w:r w:rsidR="00860D0A">
        <w:rPr>
          <w:rStyle w:val="FootnoteReference"/>
          <w:rFonts w:ascii="Times New Roman" w:hAnsi="Times New Roman" w:cs="Times New Roman"/>
          <w:sz w:val="24"/>
          <w:szCs w:val="24"/>
        </w:rPr>
        <w:footnoteReference w:id="151"/>
      </w:r>
      <w:r w:rsidR="00640953" w:rsidRPr="00403E6A">
        <w:rPr>
          <w:rFonts w:ascii="Times New Roman" w:hAnsi="Times New Roman" w:cs="Times New Roman"/>
          <w:sz w:val="24"/>
          <w:szCs w:val="24"/>
        </w:rPr>
        <w:t xml:space="preserve"> </w:t>
      </w:r>
      <w:r w:rsidR="00360B0D" w:rsidRPr="00403E6A">
        <w:rPr>
          <w:rFonts w:ascii="Times New Roman" w:hAnsi="Times New Roman" w:cs="Times New Roman"/>
          <w:sz w:val="24"/>
          <w:szCs w:val="24"/>
        </w:rPr>
        <w:t xml:space="preserve">has proposed a multi-pronged approach </w:t>
      </w:r>
      <w:r w:rsidR="00E0223D" w:rsidRPr="00403E6A">
        <w:rPr>
          <w:rFonts w:ascii="Times New Roman" w:hAnsi="Times New Roman" w:cs="Times New Roman"/>
          <w:sz w:val="24"/>
          <w:szCs w:val="24"/>
        </w:rPr>
        <w:t xml:space="preserve">that includes </w:t>
      </w:r>
      <w:r w:rsidR="007841EE" w:rsidRPr="00403E6A">
        <w:rPr>
          <w:rFonts w:ascii="Times New Roman" w:hAnsi="Times New Roman" w:cs="Times New Roman"/>
          <w:sz w:val="24"/>
          <w:szCs w:val="24"/>
        </w:rPr>
        <w:t xml:space="preserve">further </w:t>
      </w:r>
      <w:r w:rsidR="001A5CD2" w:rsidRPr="00403E6A">
        <w:rPr>
          <w:rFonts w:ascii="Times New Roman" w:hAnsi="Times New Roman" w:cs="Times New Roman"/>
          <w:sz w:val="24"/>
          <w:szCs w:val="24"/>
        </w:rPr>
        <w:t xml:space="preserve">demands for transparent pricing, </w:t>
      </w:r>
      <w:r w:rsidR="005D7456" w:rsidRPr="00403E6A">
        <w:rPr>
          <w:rFonts w:ascii="Times New Roman" w:hAnsi="Times New Roman" w:cs="Times New Roman"/>
          <w:sz w:val="24"/>
          <w:szCs w:val="24"/>
        </w:rPr>
        <w:t xml:space="preserve">heightened </w:t>
      </w:r>
      <w:r w:rsidR="001A5CD2" w:rsidRPr="00403E6A">
        <w:rPr>
          <w:rFonts w:ascii="Times New Roman" w:hAnsi="Times New Roman" w:cs="Times New Roman"/>
          <w:sz w:val="24"/>
          <w:szCs w:val="24"/>
        </w:rPr>
        <w:t xml:space="preserve">antitrust enforcement, </w:t>
      </w:r>
      <w:r w:rsidR="00405E21" w:rsidRPr="00403E6A">
        <w:rPr>
          <w:rFonts w:ascii="Times New Roman" w:hAnsi="Times New Roman" w:cs="Times New Roman"/>
          <w:sz w:val="24"/>
          <w:szCs w:val="24"/>
        </w:rPr>
        <w:t>and regulatory reform</w:t>
      </w:r>
      <w:r w:rsidR="00BA17C3" w:rsidRPr="00403E6A">
        <w:rPr>
          <w:rFonts w:ascii="Times New Roman" w:hAnsi="Times New Roman" w:cs="Times New Roman"/>
          <w:sz w:val="24"/>
          <w:szCs w:val="24"/>
        </w:rPr>
        <w:t>.</w:t>
      </w:r>
      <w:r w:rsidR="006F5BE4">
        <w:rPr>
          <w:rStyle w:val="FootnoteReference"/>
          <w:rFonts w:ascii="Times New Roman" w:hAnsi="Times New Roman" w:cs="Times New Roman"/>
          <w:sz w:val="24"/>
          <w:szCs w:val="24"/>
        </w:rPr>
        <w:footnoteReference w:id="152"/>
      </w:r>
      <w:r w:rsidR="00BA17C3" w:rsidRPr="00403E6A">
        <w:rPr>
          <w:rFonts w:ascii="Times New Roman" w:hAnsi="Times New Roman" w:cs="Times New Roman"/>
          <w:sz w:val="24"/>
          <w:szCs w:val="24"/>
        </w:rPr>
        <w:t xml:space="preserve"> </w:t>
      </w:r>
      <w:r w:rsidR="00EE5604" w:rsidRPr="00403E6A">
        <w:rPr>
          <w:rFonts w:ascii="Times New Roman" w:hAnsi="Times New Roman" w:cs="Times New Roman"/>
          <w:sz w:val="24"/>
          <w:szCs w:val="24"/>
        </w:rPr>
        <w:t xml:space="preserve">Moreover, </w:t>
      </w:r>
      <w:r w:rsidR="006F36FD" w:rsidRPr="00403E6A">
        <w:rPr>
          <w:rFonts w:ascii="Times New Roman" w:hAnsi="Times New Roman" w:cs="Times New Roman"/>
          <w:sz w:val="24"/>
          <w:szCs w:val="24"/>
        </w:rPr>
        <w:t xml:space="preserve">Roy proposes Medicare Advantage for All, which would </w:t>
      </w:r>
      <w:r w:rsidR="00AF2339" w:rsidRPr="00403E6A">
        <w:rPr>
          <w:rFonts w:ascii="Times New Roman" w:hAnsi="Times New Roman" w:cs="Times New Roman"/>
          <w:sz w:val="24"/>
          <w:szCs w:val="24"/>
        </w:rPr>
        <w:t xml:space="preserve">provide </w:t>
      </w:r>
      <w:r w:rsidR="006522BC" w:rsidRPr="00403E6A">
        <w:rPr>
          <w:rFonts w:ascii="Times New Roman" w:hAnsi="Times New Roman" w:cs="Times New Roman"/>
          <w:sz w:val="24"/>
          <w:szCs w:val="24"/>
        </w:rPr>
        <w:t>uninsured Americ</w:t>
      </w:r>
      <w:r w:rsidR="00AF2339" w:rsidRPr="00403E6A">
        <w:rPr>
          <w:rFonts w:ascii="Times New Roman" w:hAnsi="Times New Roman" w:cs="Times New Roman"/>
          <w:sz w:val="24"/>
          <w:szCs w:val="24"/>
        </w:rPr>
        <w:t xml:space="preserve">ans </w:t>
      </w:r>
      <w:r w:rsidR="0026609F" w:rsidRPr="00403E6A">
        <w:rPr>
          <w:rFonts w:ascii="Times New Roman" w:hAnsi="Times New Roman" w:cs="Times New Roman"/>
          <w:sz w:val="24"/>
          <w:szCs w:val="24"/>
        </w:rPr>
        <w:t xml:space="preserve">sufficient </w:t>
      </w:r>
      <w:r w:rsidR="00AF2339" w:rsidRPr="00403E6A">
        <w:rPr>
          <w:rFonts w:ascii="Times New Roman" w:hAnsi="Times New Roman" w:cs="Times New Roman"/>
          <w:sz w:val="24"/>
          <w:szCs w:val="24"/>
        </w:rPr>
        <w:t xml:space="preserve">subsidies </w:t>
      </w:r>
      <w:r w:rsidR="00B55880" w:rsidRPr="00403E6A">
        <w:rPr>
          <w:rFonts w:ascii="Times New Roman" w:hAnsi="Times New Roman" w:cs="Times New Roman"/>
          <w:sz w:val="24"/>
          <w:szCs w:val="24"/>
        </w:rPr>
        <w:t xml:space="preserve">on a sliding scale </w:t>
      </w:r>
      <w:r w:rsidR="003D31A6" w:rsidRPr="00403E6A">
        <w:rPr>
          <w:rFonts w:ascii="Times New Roman" w:hAnsi="Times New Roman" w:cs="Times New Roman"/>
          <w:sz w:val="24"/>
          <w:szCs w:val="24"/>
        </w:rPr>
        <w:t xml:space="preserve">that </w:t>
      </w:r>
      <w:r w:rsidR="00AF2339" w:rsidRPr="00403E6A">
        <w:rPr>
          <w:rFonts w:ascii="Times New Roman" w:hAnsi="Times New Roman" w:cs="Times New Roman"/>
          <w:sz w:val="24"/>
          <w:szCs w:val="24"/>
        </w:rPr>
        <w:t xml:space="preserve">would </w:t>
      </w:r>
      <w:r w:rsidR="00413C87">
        <w:rPr>
          <w:rFonts w:ascii="Times New Roman" w:hAnsi="Times New Roman" w:cs="Times New Roman"/>
          <w:sz w:val="24"/>
          <w:szCs w:val="24"/>
        </w:rPr>
        <w:t xml:space="preserve">allow consumers to choose </w:t>
      </w:r>
      <w:r w:rsidR="00B55880" w:rsidRPr="00403E6A">
        <w:rPr>
          <w:rFonts w:ascii="Times New Roman" w:hAnsi="Times New Roman" w:cs="Times New Roman"/>
          <w:sz w:val="24"/>
          <w:szCs w:val="24"/>
        </w:rPr>
        <w:t xml:space="preserve">amongst existing Medicare </w:t>
      </w:r>
      <w:r w:rsidR="0026609F" w:rsidRPr="00403E6A">
        <w:rPr>
          <w:rFonts w:ascii="Times New Roman" w:hAnsi="Times New Roman" w:cs="Times New Roman"/>
          <w:sz w:val="24"/>
          <w:szCs w:val="24"/>
        </w:rPr>
        <w:t>A</w:t>
      </w:r>
      <w:r w:rsidR="00B55880" w:rsidRPr="00403E6A">
        <w:rPr>
          <w:rFonts w:ascii="Times New Roman" w:hAnsi="Times New Roman" w:cs="Times New Roman"/>
          <w:sz w:val="24"/>
          <w:szCs w:val="24"/>
        </w:rPr>
        <w:t>dvantage plans</w:t>
      </w:r>
      <w:r w:rsidR="003D31A6" w:rsidRPr="00403E6A">
        <w:rPr>
          <w:rFonts w:ascii="Times New Roman" w:hAnsi="Times New Roman" w:cs="Times New Roman"/>
          <w:sz w:val="24"/>
          <w:szCs w:val="24"/>
        </w:rPr>
        <w:t>.</w:t>
      </w:r>
      <w:r w:rsidR="00A503CD">
        <w:rPr>
          <w:rStyle w:val="FootnoteReference"/>
          <w:rFonts w:ascii="Times New Roman" w:hAnsi="Times New Roman" w:cs="Times New Roman"/>
          <w:sz w:val="24"/>
          <w:szCs w:val="24"/>
        </w:rPr>
        <w:footnoteReference w:id="153"/>
      </w:r>
      <w:r w:rsidR="006522BC" w:rsidRPr="00403E6A">
        <w:rPr>
          <w:rFonts w:ascii="Times New Roman" w:hAnsi="Times New Roman" w:cs="Times New Roman"/>
          <w:sz w:val="24"/>
          <w:szCs w:val="24"/>
        </w:rPr>
        <w:t xml:space="preserve"> </w:t>
      </w:r>
      <w:r w:rsidR="00BA17C3" w:rsidRPr="00403E6A">
        <w:rPr>
          <w:rFonts w:ascii="Times New Roman" w:hAnsi="Times New Roman" w:cs="Times New Roman"/>
          <w:sz w:val="24"/>
          <w:szCs w:val="24"/>
        </w:rPr>
        <w:t xml:space="preserve">Ideally, these </w:t>
      </w:r>
      <w:r w:rsidR="000E6934" w:rsidRPr="00403E6A">
        <w:rPr>
          <w:rFonts w:ascii="Times New Roman" w:hAnsi="Times New Roman" w:cs="Times New Roman"/>
          <w:sz w:val="24"/>
          <w:szCs w:val="24"/>
        </w:rPr>
        <w:t>changes would</w:t>
      </w:r>
      <w:r w:rsidR="00BA1092" w:rsidRPr="00403E6A">
        <w:rPr>
          <w:rFonts w:ascii="Times New Roman" w:hAnsi="Times New Roman" w:cs="Times New Roman"/>
          <w:sz w:val="24"/>
          <w:szCs w:val="24"/>
        </w:rPr>
        <w:t xml:space="preserve"> </w:t>
      </w:r>
      <w:r w:rsidR="00E66352" w:rsidRPr="00403E6A">
        <w:rPr>
          <w:rFonts w:ascii="Times New Roman" w:hAnsi="Times New Roman" w:cs="Times New Roman"/>
          <w:sz w:val="24"/>
          <w:szCs w:val="24"/>
        </w:rPr>
        <w:t xml:space="preserve">lower barriers to entry for competitors and </w:t>
      </w:r>
      <w:r w:rsidR="00B91168" w:rsidRPr="00403E6A">
        <w:rPr>
          <w:rFonts w:ascii="Times New Roman" w:hAnsi="Times New Roman" w:cs="Times New Roman"/>
          <w:sz w:val="24"/>
          <w:szCs w:val="24"/>
        </w:rPr>
        <w:t xml:space="preserve">lower prices. Additionally, </w:t>
      </w:r>
      <w:r w:rsidR="007077BB" w:rsidRPr="00403E6A">
        <w:rPr>
          <w:rFonts w:ascii="Times New Roman" w:hAnsi="Times New Roman" w:cs="Times New Roman"/>
          <w:sz w:val="24"/>
          <w:szCs w:val="24"/>
        </w:rPr>
        <w:t xml:space="preserve">Dr. Ryan Neuhofel, has proposed </w:t>
      </w:r>
      <w:r w:rsidR="008545F4" w:rsidRPr="00403E6A">
        <w:rPr>
          <w:rFonts w:ascii="Times New Roman" w:hAnsi="Times New Roman" w:cs="Times New Roman"/>
          <w:sz w:val="24"/>
          <w:szCs w:val="24"/>
        </w:rPr>
        <w:t xml:space="preserve">decentralizing the </w:t>
      </w:r>
      <w:r w:rsidR="0056517A" w:rsidRPr="00403E6A">
        <w:rPr>
          <w:rFonts w:ascii="Times New Roman" w:hAnsi="Times New Roman" w:cs="Times New Roman"/>
          <w:sz w:val="24"/>
          <w:szCs w:val="24"/>
        </w:rPr>
        <w:t xml:space="preserve">management of health care dollars through a universal </w:t>
      </w:r>
      <w:r w:rsidR="00EC54C6" w:rsidRPr="00403E6A">
        <w:rPr>
          <w:rFonts w:ascii="Times New Roman" w:hAnsi="Times New Roman" w:cs="Times New Roman"/>
          <w:sz w:val="24"/>
          <w:szCs w:val="24"/>
        </w:rPr>
        <w:t>direct primary care model</w:t>
      </w:r>
      <w:r w:rsidR="004D19C9" w:rsidRPr="00403E6A">
        <w:rPr>
          <w:rFonts w:ascii="Times New Roman" w:hAnsi="Times New Roman" w:cs="Times New Roman"/>
          <w:sz w:val="24"/>
          <w:szCs w:val="24"/>
        </w:rPr>
        <w:t>.</w:t>
      </w:r>
      <w:r w:rsidR="00AE69E8">
        <w:rPr>
          <w:rStyle w:val="FootnoteReference"/>
          <w:rFonts w:ascii="Times New Roman" w:hAnsi="Times New Roman" w:cs="Times New Roman"/>
          <w:sz w:val="24"/>
          <w:szCs w:val="24"/>
        </w:rPr>
        <w:footnoteReference w:id="154"/>
      </w:r>
      <w:r w:rsidR="004D19C9" w:rsidRPr="00403E6A">
        <w:rPr>
          <w:rFonts w:ascii="Times New Roman" w:hAnsi="Times New Roman" w:cs="Times New Roman"/>
          <w:sz w:val="24"/>
          <w:szCs w:val="24"/>
        </w:rPr>
        <w:t xml:space="preserve"> </w:t>
      </w:r>
      <w:r w:rsidR="00882DBA">
        <w:rPr>
          <w:rFonts w:ascii="Times New Roman" w:hAnsi="Times New Roman" w:cs="Times New Roman"/>
          <w:sz w:val="24"/>
          <w:szCs w:val="24"/>
        </w:rPr>
        <w:t>T</w:t>
      </w:r>
      <w:r w:rsidR="004D19C9" w:rsidRPr="00403E6A">
        <w:rPr>
          <w:rFonts w:ascii="Times New Roman" w:hAnsi="Times New Roman" w:cs="Times New Roman"/>
          <w:sz w:val="24"/>
          <w:szCs w:val="24"/>
        </w:rPr>
        <w:t xml:space="preserve">he direct primary </w:t>
      </w:r>
      <w:r w:rsidR="00844C4A">
        <w:rPr>
          <w:rFonts w:ascii="Times New Roman" w:hAnsi="Times New Roman" w:cs="Times New Roman"/>
          <w:sz w:val="24"/>
          <w:szCs w:val="24"/>
        </w:rPr>
        <w:t xml:space="preserve">care </w:t>
      </w:r>
      <w:r w:rsidR="004D19C9" w:rsidRPr="00403E6A">
        <w:rPr>
          <w:rFonts w:ascii="Times New Roman" w:hAnsi="Times New Roman" w:cs="Times New Roman"/>
          <w:sz w:val="24"/>
          <w:szCs w:val="24"/>
        </w:rPr>
        <w:t xml:space="preserve">model </w:t>
      </w:r>
      <w:r w:rsidR="00AE1593" w:rsidRPr="00403E6A">
        <w:rPr>
          <w:rFonts w:ascii="Times New Roman" w:hAnsi="Times New Roman" w:cs="Times New Roman"/>
          <w:sz w:val="24"/>
          <w:szCs w:val="24"/>
        </w:rPr>
        <w:t>eliminates</w:t>
      </w:r>
      <w:r w:rsidR="00A973DC" w:rsidRPr="00403E6A">
        <w:rPr>
          <w:rFonts w:ascii="Times New Roman" w:hAnsi="Times New Roman" w:cs="Times New Roman"/>
          <w:sz w:val="24"/>
          <w:szCs w:val="24"/>
        </w:rPr>
        <w:t xml:space="preserve"> </w:t>
      </w:r>
      <w:r w:rsidR="008A0200" w:rsidRPr="00403E6A">
        <w:rPr>
          <w:rFonts w:ascii="Times New Roman" w:hAnsi="Times New Roman" w:cs="Times New Roman"/>
          <w:sz w:val="24"/>
          <w:szCs w:val="24"/>
        </w:rPr>
        <w:t>third parties</w:t>
      </w:r>
      <w:r w:rsidR="00844C4A">
        <w:rPr>
          <w:rFonts w:ascii="Times New Roman" w:hAnsi="Times New Roman" w:cs="Times New Roman"/>
          <w:sz w:val="24"/>
          <w:szCs w:val="24"/>
        </w:rPr>
        <w:t xml:space="preserve"> </w:t>
      </w:r>
      <w:r w:rsidR="00A973DC" w:rsidRPr="00403E6A">
        <w:rPr>
          <w:rFonts w:ascii="Times New Roman" w:hAnsi="Times New Roman" w:cs="Times New Roman"/>
          <w:sz w:val="24"/>
          <w:szCs w:val="24"/>
        </w:rPr>
        <w:t xml:space="preserve">and </w:t>
      </w:r>
      <w:r w:rsidR="00844C4A">
        <w:rPr>
          <w:rFonts w:ascii="Times New Roman" w:hAnsi="Times New Roman" w:cs="Times New Roman"/>
          <w:sz w:val="24"/>
          <w:szCs w:val="24"/>
        </w:rPr>
        <w:t xml:space="preserve">lets </w:t>
      </w:r>
      <w:r w:rsidR="00A973DC" w:rsidRPr="00403E6A">
        <w:rPr>
          <w:rFonts w:ascii="Times New Roman" w:hAnsi="Times New Roman" w:cs="Times New Roman"/>
          <w:sz w:val="24"/>
          <w:szCs w:val="24"/>
        </w:rPr>
        <w:t>consumers purchase</w:t>
      </w:r>
      <w:r w:rsidR="00F464A1" w:rsidRPr="00403E6A">
        <w:rPr>
          <w:rFonts w:ascii="Times New Roman" w:hAnsi="Times New Roman" w:cs="Times New Roman"/>
          <w:sz w:val="24"/>
          <w:szCs w:val="24"/>
        </w:rPr>
        <w:t xml:space="preserve"> non-catastrophic </w:t>
      </w:r>
      <w:r w:rsidR="00E54BD5" w:rsidRPr="00403E6A">
        <w:rPr>
          <w:rFonts w:ascii="Times New Roman" w:hAnsi="Times New Roman" w:cs="Times New Roman"/>
          <w:sz w:val="24"/>
          <w:szCs w:val="24"/>
        </w:rPr>
        <w:t xml:space="preserve">services through their </w:t>
      </w:r>
      <w:r w:rsidR="00844C4A">
        <w:rPr>
          <w:rFonts w:ascii="Times New Roman" w:hAnsi="Times New Roman" w:cs="Times New Roman"/>
          <w:sz w:val="24"/>
          <w:szCs w:val="24"/>
        </w:rPr>
        <w:t xml:space="preserve">primary care </w:t>
      </w:r>
      <w:r w:rsidR="00E54BD5" w:rsidRPr="00403E6A">
        <w:rPr>
          <w:rFonts w:ascii="Times New Roman" w:hAnsi="Times New Roman" w:cs="Times New Roman"/>
          <w:sz w:val="24"/>
          <w:szCs w:val="24"/>
        </w:rPr>
        <w:t>physician.</w:t>
      </w:r>
      <w:r w:rsidR="00844C4A">
        <w:rPr>
          <w:rStyle w:val="FootnoteReference"/>
          <w:rFonts w:ascii="Times New Roman" w:hAnsi="Times New Roman" w:cs="Times New Roman"/>
          <w:sz w:val="24"/>
          <w:szCs w:val="24"/>
        </w:rPr>
        <w:footnoteReference w:id="155"/>
      </w:r>
      <w:r w:rsidR="00E54BD5" w:rsidRPr="00403E6A">
        <w:rPr>
          <w:rFonts w:ascii="Times New Roman" w:hAnsi="Times New Roman" w:cs="Times New Roman"/>
          <w:sz w:val="24"/>
          <w:szCs w:val="24"/>
        </w:rPr>
        <w:t xml:space="preserve"> </w:t>
      </w:r>
    </w:p>
    <w:p w14:paraId="45091D8D" w14:textId="36FC51C0" w:rsidR="00B96210" w:rsidRPr="00403E6A" w:rsidRDefault="00793FC7" w:rsidP="00B96210">
      <w:pPr>
        <w:pStyle w:val="ListParagraph"/>
        <w:numPr>
          <w:ilvl w:val="0"/>
          <w:numId w:val="6"/>
        </w:numPr>
        <w:spacing w:after="0" w:line="480" w:lineRule="auto"/>
        <w:rPr>
          <w:rFonts w:ascii="Times New Roman" w:hAnsi="Times New Roman" w:cs="Times New Roman"/>
          <w:sz w:val="24"/>
          <w:szCs w:val="24"/>
          <w:u w:val="single"/>
        </w:rPr>
      </w:pPr>
      <w:r w:rsidRPr="00403E6A">
        <w:rPr>
          <w:rFonts w:ascii="Times New Roman" w:hAnsi="Times New Roman" w:cs="Times New Roman"/>
          <w:sz w:val="24"/>
          <w:szCs w:val="24"/>
          <w:u w:val="single"/>
        </w:rPr>
        <w:t xml:space="preserve">Checking </w:t>
      </w:r>
      <w:r w:rsidR="007F45C3" w:rsidRPr="00403E6A">
        <w:rPr>
          <w:rFonts w:ascii="Times New Roman" w:hAnsi="Times New Roman" w:cs="Times New Roman"/>
          <w:sz w:val="24"/>
          <w:szCs w:val="24"/>
          <w:u w:val="single"/>
        </w:rPr>
        <w:t>Quasi-</w:t>
      </w:r>
      <w:r w:rsidRPr="00403E6A">
        <w:rPr>
          <w:rFonts w:ascii="Times New Roman" w:hAnsi="Times New Roman" w:cs="Times New Roman"/>
          <w:sz w:val="24"/>
          <w:szCs w:val="24"/>
          <w:u w:val="single"/>
        </w:rPr>
        <w:t>Monopo</w:t>
      </w:r>
      <w:r w:rsidR="004B1EA3" w:rsidRPr="00403E6A">
        <w:rPr>
          <w:rFonts w:ascii="Times New Roman" w:hAnsi="Times New Roman" w:cs="Times New Roman"/>
          <w:sz w:val="24"/>
          <w:szCs w:val="24"/>
          <w:u w:val="single"/>
        </w:rPr>
        <w:t xml:space="preserve">lies with a </w:t>
      </w:r>
      <w:r w:rsidR="007F45C3" w:rsidRPr="00403E6A">
        <w:rPr>
          <w:rFonts w:ascii="Times New Roman" w:hAnsi="Times New Roman" w:cs="Times New Roman"/>
          <w:sz w:val="24"/>
          <w:szCs w:val="24"/>
          <w:u w:val="single"/>
        </w:rPr>
        <w:t xml:space="preserve">State-Sponsored </w:t>
      </w:r>
      <w:r w:rsidR="004B1EA3" w:rsidRPr="00403E6A">
        <w:rPr>
          <w:rFonts w:ascii="Times New Roman" w:hAnsi="Times New Roman" w:cs="Times New Roman"/>
          <w:sz w:val="24"/>
          <w:szCs w:val="24"/>
          <w:u w:val="single"/>
        </w:rPr>
        <w:t xml:space="preserve">Monopsony </w:t>
      </w:r>
      <w:r w:rsidR="006C5CCE" w:rsidRPr="00403E6A">
        <w:rPr>
          <w:rFonts w:ascii="Times New Roman" w:hAnsi="Times New Roman" w:cs="Times New Roman"/>
          <w:sz w:val="24"/>
          <w:szCs w:val="24"/>
          <w:u w:val="single"/>
        </w:rPr>
        <w:t>is Counterintuitive</w:t>
      </w:r>
    </w:p>
    <w:p w14:paraId="63173D44" w14:textId="4872DDCA" w:rsidR="00E0068F" w:rsidRPr="00403E6A" w:rsidRDefault="00B96210" w:rsidP="00BD631E">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r>
      <w:r w:rsidR="00090E73" w:rsidRPr="00403E6A">
        <w:rPr>
          <w:rFonts w:ascii="Times New Roman" w:hAnsi="Times New Roman" w:cs="Times New Roman"/>
          <w:sz w:val="24"/>
          <w:szCs w:val="24"/>
        </w:rPr>
        <w:t>T</w:t>
      </w:r>
      <w:r w:rsidR="00304EB8" w:rsidRPr="00403E6A">
        <w:rPr>
          <w:rFonts w:ascii="Times New Roman" w:hAnsi="Times New Roman" w:cs="Times New Roman"/>
          <w:sz w:val="24"/>
          <w:szCs w:val="24"/>
        </w:rPr>
        <w:t>he</w:t>
      </w:r>
      <w:r w:rsidR="0087619A" w:rsidRPr="00403E6A">
        <w:rPr>
          <w:rFonts w:ascii="Times New Roman" w:hAnsi="Times New Roman" w:cs="Times New Roman"/>
          <w:sz w:val="24"/>
          <w:szCs w:val="24"/>
        </w:rPr>
        <w:t xml:space="preserve"> </w:t>
      </w:r>
      <w:r w:rsidR="00184F58" w:rsidRPr="00403E6A">
        <w:rPr>
          <w:rFonts w:ascii="Times New Roman" w:hAnsi="Times New Roman" w:cs="Times New Roman"/>
          <w:sz w:val="24"/>
          <w:szCs w:val="24"/>
        </w:rPr>
        <w:t>theory</w:t>
      </w:r>
      <w:r w:rsidR="0087619A" w:rsidRPr="00403E6A">
        <w:rPr>
          <w:rFonts w:ascii="Times New Roman" w:hAnsi="Times New Roman" w:cs="Times New Roman"/>
          <w:sz w:val="24"/>
          <w:szCs w:val="24"/>
        </w:rPr>
        <w:t xml:space="preserve"> </w:t>
      </w:r>
      <w:r w:rsidR="00731F37" w:rsidRPr="00403E6A">
        <w:rPr>
          <w:rFonts w:ascii="Times New Roman" w:hAnsi="Times New Roman" w:cs="Times New Roman"/>
          <w:sz w:val="24"/>
          <w:szCs w:val="24"/>
        </w:rPr>
        <w:t xml:space="preserve">at the heart of </w:t>
      </w:r>
      <w:r w:rsidR="00184F58" w:rsidRPr="00403E6A">
        <w:rPr>
          <w:rFonts w:ascii="Times New Roman" w:hAnsi="Times New Roman" w:cs="Times New Roman"/>
          <w:sz w:val="24"/>
          <w:szCs w:val="24"/>
        </w:rPr>
        <w:t xml:space="preserve">both </w:t>
      </w:r>
      <w:r w:rsidR="00401BB1" w:rsidRPr="00403E6A">
        <w:rPr>
          <w:rFonts w:ascii="Times New Roman" w:hAnsi="Times New Roman" w:cs="Times New Roman"/>
          <w:sz w:val="24"/>
          <w:szCs w:val="24"/>
        </w:rPr>
        <w:t>Biden and Sanders</w:t>
      </w:r>
      <w:r w:rsidR="00184F58" w:rsidRPr="00403E6A">
        <w:rPr>
          <w:rFonts w:ascii="Times New Roman" w:hAnsi="Times New Roman" w:cs="Times New Roman"/>
          <w:sz w:val="24"/>
          <w:szCs w:val="24"/>
        </w:rPr>
        <w:t>’</w:t>
      </w:r>
      <w:r w:rsidR="0087619A" w:rsidRPr="00403E6A">
        <w:rPr>
          <w:rFonts w:ascii="Times New Roman" w:hAnsi="Times New Roman" w:cs="Times New Roman"/>
          <w:sz w:val="24"/>
          <w:szCs w:val="24"/>
        </w:rPr>
        <w:t xml:space="preserve"> plans </w:t>
      </w:r>
      <w:r w:rsidR="0088332D" w:rsidRPr="00403E6A">
        <w:rPr>
          <w:rFonts w:ascii="Times New Roman" w:hAnsi="Times New Roman" w:cs="Times New Roman"/>
          <w:sz w:val="24"/>
          <w:szCs w:val="24"/>
        </w:rPr>
        <w:t>is</w:t>
      </w:r>
      <w:r w:rsidR="0087619A" w:rsidRPr="00403E6A">
        <w:rPr>
          <w:rFonts w:ascii="Times New Roman" w:hAnsi="Times New Roman" w:cs="Times New Roman"/>
          <w:sz w:val="24"/>
          <w:szCs w:val="24"/>
        </w:rPr>
        <w:t xml:space="preserve"> </w:t>
      </w:r>
      <w:r w:rsidR="001F2C60" w:rsidRPr="00403E6A">
        <w:rPr>
          <w:rFonts w:ascii="Times New Roman" w:hAnsi="Times New Roman" w:cs="Times New Roman"/>
          <w:sz w:val="24"/>
          <w:szCs w:val="24"/>
        </w:rPr>
        <w:t xml:space="preserve">twofold: </w:t>
      </w:r>
      <w:r w:rsidR="0087619A" w:rsidRPr="00403E6A">
        <w:rPr>
          <w:rFonts w:ascii="Times New Roman" w:hAnsi="Times New Roman" w:cs="Times New Roman"/>
          <w:sz w:val="24"/>
          <w:szCs w:val="24"/>
        </w:rPr>
        <w:t>use the state’s buying power</w:t>
      </w:r>
      <w:r w:rsidR="0068719D" w:rsidRPr="00403E6A">
        <w:rPr>
          <w:rFonts w:ascii="Times New Roman" w:hAnsi="Times New Roman" w:cs="Times New Roman"/>
          <w:sz w:val="24"/>
          <w:szCs w:val="24"/>
        </w:rPr>
        <w:t xml:space="preserve"> </w:t>
      </w:r>
      <w:r w:rsidR="004A7915" w:rsidRPr="00403E6A">
        <w:rPr>
          <w:rFonts w:ascii="Times New Roman" w:hAnsi="Times New Roman" w:cs="Times New Roman"/>
          <w:sz w:val="24"/>
          <w:szCs w:val="24"/>
        </w:rPr>
        <w:t xml:space="preserve">to </w:t>
      </w:r>
      <w:r w:rsidR="00D35001" w:rsidRPr="00403E6A">
        <w:rPr>
          <w:rFonts w:ascii="Times New Roman" w:hAnsi="Times New Roman" w:cs="Times New Roman"/>
          <w:sz w:val="24"/>
          <w:szCs w:val="24"/>
        </w:rPr>
        <w:t xml:space="preserve">negotiate down prices </w:t>
      </w:r>
      <w:r w:rsidR="00234B88" w:rsidRPr="00403E6A">
        <w:rPr>
          <w:rFonts w:ascii="Times New Roman" w:hAnsi="Times New Roman" w:cs="Times New Roman"/>
          <w:sz w:val="24"/>
          <w:szCs w:val="24"/>
        </w:rPr>
        <w:t xml:space="preserve">and </w:t>
      </w:r>
      <w:r w:rsidR="00FA3299" w:rsidRPr="00403E6A">
        <w:rPr>
          <w:rFonts w:ascii="Times New Roman" w:hAnsi="Times New Roman" w:cs="Times New Roman"/>
          <w:sz w:val="24"/>
          <w:szCs w:val="24"/>
        </w:rPr>
        <w:t xml:space="preserve">use monopsony </w:t>
      </w:r>
      <w:r w:rsidR="00266DD8" w:rsidRPr="00403E6A">
        <w:rPr>
          <w:rFonts w:ascii="Times New Roman" w:hAnsi="Times New Roman" w:cs="Times New Roman"/>
          <w:sz w:val="24"/>
          <w:szCs w:val="24"/>
        </w:rPr>
        <w:t xml:space="preserve">purchasing to </w:t>
      </w:r>
      <w:r w:rsidR="00B135D4" w:rsidRPr="00403E6A">
        <w:rPr>
          <w:rFonts w:ascii="Times New Roman" w:hAnsi="Times New Roman" w:cs="Times New Roman"/>
          <w:sz w:val="24"/>
          <w:szCs w:val="24"/>
        </w:rPr>
        <w:t xml:space="preserve">promote </w:t>
      </w:r>
      <w:r w:rsidR="00B515BA" w:rsidRPr="00403E6A">
        <w:rPr>
          <w:rFonts w:ascii="Times New Roman" w:hAnsi="Times New Roman" w:cs="Times New Roman"/>
          <w:sz w:val="24"/>
          <w:szCs w:val="24"/>
        </w:rPr>
        <w:t xml:space="preserve">price </w:t>
      </w:r>
      <w:r w:rsidR="00B135D4" w:rsidRPr="00403E6A">
        <w:rPr>
          <w:rFonts w:ascii="Times New Roman" w:hAnsi="Times New Roman" w:cs="Times New Roman"/>
          <w:sz w:val="24"/>
          <w:szCs w:val="24"/>
        </w:rPr>
        <w:t>uniformity</w:t>
      </w:r>
      <w:r w:rsidR="00B515BA" w:rsidRPr="00403E6A">
        <w:rPr>
          <w:rFonts w:ascii="Times New Roman" w:hAnsi="Times New Roman" w:cs="Times New Roman"/>
          <w:sz w:val="24"/>
          <w:szCs w:val="24"/>
        </w:rPr>
        <w:t>.</w:t>
      </w:r>
      <w:r w:rsidR="004918AF" w:rsidRPr="00403E6A">
        <w:rPr>
          <w:rFonts w:ascii="Times New Roman" w:hAnsi="Times New Roman" w:cs="Times New Roman"/>
          <w:sz w:val="24"/>
          <w:szCs w:val="24"/>
        </w:rPr>
        <w:t xml:space="preserve"> </w:t>
      </w:r>
      <w:r w:rsidR="009526D2" w:rsidRPr="00403E6A">
        <w:rPr>
          <w:rFonts w:ascii="Times New Roman" w:hAnsi="Times New Roman" w:cs="Times New Roman"/>
          <w:sz w:val="24"/>
          <w:szCs w:val="24"/>
        </w:rPr>
        <w:t xml:space="preserve">Under </w:t>
      </w:r>
      <w:r w:rsidR="000F67FA" w:rsidRPr="00403E6A">
        <w:rPr>
          <w:rFonts w:ascii="Times New Roman" w:hAnsi="Times New Roman" w:cs="Times New Roman"/>
          <w:sz w:val="24"/>
          <w:szCs w:val="24"/>
        </w:rPr>
        <w:t xml:space="preserve">Sanders’s proposal, </w:t>
      </w:r>
      <w:r w:rsidR="00B122B8" w:rsidRPr="00403E6A">
        <w:rPr>
          <w:rFonts w:ascii="Times New Roman" w:hAnsi="Times New Roman" w:cs="Times New Roman"/>
          <w:sz w:val="24"/>
          <w:szCs w:val="24"/>
        </w:rPr>
        <w:t xml:space="preserve">Medicare for All would in practice, be a single, national </w:t>
      </w:r>
      <w:r w:rsidR="00B122B8" w:rsidRPr="00403E6A">
        <w:rPr>
          <w:rFonts w:ascii="Times New Roman" w:hAnsi="Times New Roman" w:cs="Times New Roman"/>
          <w:sz w:val="24"/>
          <w:szCs w:val="24"/>
        </w:rPr>
        <w:lastRenderedPageBreak/>
        <w:t>health insurance program that would cover everyone living in the United States.</w:t>
      </w:r>
      <w:r w:rsidR="00CC3788">
        <w:rPr>
          <w:rStyle w:val="FootnoteReference"/>
          <w:rFonts w:ascii="Times New Roman" w:hAnsi="Times New Roman" w:cs="Times New Roman"/>
          <w:sz w:val="24"/>
          <w:szCs w:val="24"/>
        </w:rPr>
        <w:footnoteReference w:id="156"/>
      </w:r>
      <w:r w:rsidR="00BF42F7" w:rsidRPr="00403E6A">
        <w:rPr>
          <w:rFonts w:ascii="Times New Roman" w:hAnsi="Times New Roman" w:cs="Times New Roman"/>
          <w:sz w:val="24"/>
          <w:szCs w:val="24"/>
        </w:rPr>
        <w:t xml:space="preserve"> </w:t>
      </w:r>
      <w:r w:rsidR="00683E4F" w:rsidRPr="00403E6A">
        <w:rPr>
          <w:rFonts w:ascii="Times New Roman" w:hAnsi="Times New Roman" w:cs="Times New Roman"/>
          <w:sz w:val="24"/>
          <w:szCs w:val="24"/>
        </w:rPr>
        <w:t xml:space="preserve">The bill </w:t>
      </w:r>
      <w:r w:rsidR="001D29AA" w:rsidRPr="00403E6A">
        <w:rPr>
          <w:rFonts w:ascii="Times New Roman" w:hAnsi="Times New Roman" w:cs="Times New Roman"/>
          <w:sz w:val="24"/>
          <w:szCs w:val="24"/>
        </w:rPr>
        <w:t>makes it unlawful for “any private insurer to sell health insurance coverage that duplicates the benefits provided under this Act.”</w:t>
      </w:r>
      <w:r w:rsidR="0082070C">
        <w:rPr>
          <w:rStyle w:val="FootnoteReference"/>
          <w:rFonts w:ascii="Times New Roman" w:hAnsi="Times New Roman" w:cs="Times New Roman"/>
          <w:sz w:val="24"/>
          <w:szCs w:val="24"/>
        </w:rPr>
        <w:footnoteReference w:id="157"/>
      </w:r>
      <w:r w:rsidR="001D29AA" w:rsidRPr="00403E6A">
        <w:rPr>
          <w:rFonts w:ascii="Times New Roman" w:hAnsi="Times New Roman" w:cs="Times New Roman"/>
          <w:sz w:val="24"/>
          <w:szCs w:val="24"/>
        </w:rPr>
        <w:t xml:space="preserve"> </w:t>
      </w:r>
      <w:r w:rsidR="00A51CD3" w:rsidRPr="00403E6A">
        <w:rPr>
          <w:rFonts w:ascii="Times New Roman" w:hAnsi="Times New Roman" w:cs="Times New Roman"/>
          <w:sz w:val="24"/>
          <w:szCs w:val="24"/>
        </w:rPr>
        <w:t xml:space="preserve">The proposal eradicates </w:t>
      </w:r>
      <w:r w:rsidR="00BF42F7" w:rsidRPr="00403E6A">
        <w:rPr>
          <w:rFonts w:ascii="Times New Roman" w:hAnsi="Times New Roman" w:cs="Times New Roman"/>
          <w:sz w:val="24"/>
          <w:szCs w:val="24"/>
        </w:rPr>
        <w:t xml:space="preserve">copays </w:t>
      </w:r>
      <w:r w:rsidR="00A51CD3" w:rsidRPr="00403E6A">
        <w:rPr>
          <w:rFonts w:ascii="Times New Roman" w:hAnsi="Times New Roman" w:cs="Times New Roman"/>
          <w:sz w:val="24"/>
          <w:szCs w:val="24"/>
        </w:rPr>
        <w:t xml:space="preserve">and </w:t>
      </w:r>
      <w:r w:rsidR="00BF42F7" w:rsidRPr="00403E6A">
        <w:rPr>
          <w:rFonts w:ascii="Times New Roman" w:hAnsi="Times New Roman" w:cs="Times New Roman"/>
          <w:sz w:val="24"/>
          <w:szCs w:val="24"/>
        </w:rPr>
        <w:t xml:space="preserve">deductibles, </w:t>
      </w:r>
      <w:r w:rsidR="00732CE9" w:rsidRPr="00403E6A">
        <w:rPr>
          <w:rFonts w:ascii="Times New Roman" w:hAnsi="Times New Roman" w:cs="Times New Roman"/>
          <w:sz w:val="24"/>
          <w:szCs w:val="24"/>
        </w:rPr>
        <w:t>except for</w:t>
      </w:r>
      <w:r w:rsidR="00BF42F7" w:rsidRPr="00403E6A">
        <w:rPr>
          <w:rFonts w:ascii="Times New Roman" w:hAnsi="Times New Roman" w:cs="Times New Roman"/>
          <w:sz w:val="24"/>
          <w:szCs w:val="24"/>
        </w:rPr>
        <w:t xml:space="preserve"> prescription drugs, though the </w:t>
      </w:r>
      <w:r w:rsidR="00732CE9" w:rsidRPr="00403E6A">
        <w:rPr>
          <w:rFonts w:ascii="Times New Roman" w:hAnsi="Times New Roman" w:cs="Times New Roman"/>
          <w:sz w:val="24"/>
          <w:szCs w:val="24"/>
        </w:rPr>
        <w:t xml:space="preserve">maximum </w:t>
      </w:r>
      <w:r w:rsidR="00BF42F7" w:rsidRPr="00403E6A">
        <w:rPr>
          <w:rFonts w:ascii="Times New Roman" w:hAnsi="Times New Roman" w:cs="Times New Roman"/>
          <w:sz w:val="24"/>
          <w:szCs w:val="24"/>
        </w:rPr>
        <w:t>cost would be $200 a</w:t>
      </w:r>
      <w:r w:rsidR="00732CE9" w:rsidRPr="00403E6A">
        <w:rPr>
          <w:rFonts w:ascii="Times New Roman" w:hAnsi="Times New Roman" w:cs="Times New Roman"/>
          <w:sz w:val="24"/>
          <w:szCs w:val="24"/>
        </w:rPr>
        <w:t>nnually</w:t>
      </w:r>
      <w:r w:rsidR="00BF42F7" w:rsidRPr="00403E6A">
        <w:rPr>
          <w:rFonts w:ascii="Times New Roman" w:hAnsi="Times New Roman" w:cs="Times New Roman"/>
          <w:sz w:val="24"/>
          <w:szCs w:val="24"/>
        </w:rPr>
        <w:t>.</w:t>
      </w:r>
      <w:r w:rsidR="00C73921">
        <w:rPr>
          <w:rStyle w:val="FootnoteReference"/>
          <w:rFonts w:ascii="Times New Roman" w:hAnsi="Times New Roman" w:cs="Times New Roman"/>
          <w:sz w:val="24"/>
          <w:szCs w:val="24"/>
        </w:rPr>
        <w:footnoteReference w:id="158"/>
      </w:r>
      <w:r w:rsidR="00BF42F7" w:rsidRPr="00403E6A">
        <w:rPr>
          <w:rFonts w:ascii="Times New Roman" w:hAnsi="Times New Roman" w:cs="Times New Roman"/>
          <w:sz w:val="24"/>
          <w:szCs w:val="24"/>
        </w:rPr>
        <w:t xml:space="preserve"> </w:t>
      </w:r>
      <w:r w:rsidR="004B5672" w:rsidRPr="00403E6A">
        <w:rPr>
          <w:rFonts w:ascii="Times New Roman" w:hAnsi="Times New Roman" w:cs="Times New Roman"/>
          <w:sz w:val="24"/>
          <w:szCs w:val="24"/>
        </w:rPr>
        <w:t xml:space="preserve">This is a reform to traditional Medicare, </w:t>
      </w:r>
      <w:r w:rsidR="001C1740" w:rsidRPr="00403E6A">
        <w:rPr>
          <w:rFonts w:ascii="Times New Roman" w:hAnsi="Times New Roman" w:cs="Times New Roman"/>
          <w:sz w:val="24"/>
          <w:szCs w:val="24"/>
        </w:rPr>
        <w:t>which has no out-of-pocket limits and imposes high deductibles and copayments.</w:t>
      </w:r>
      <w:r w:rsidR="000631BD">
        <w:rPr>
          <w:rStyle w:val="FootnoteReference"/>
          <w:rFonts w:ascii="Times New Roman" w:hAnsi="Times New Roman" w:cs="Times New Roman"/>
          <w:sz w:val="24"/>
          <w:szCs w:val="24"/>
        </w:rPr>
        <w:footnoteReference w:id="159"/>
      </w:r>
      <w:r w:rsidR="001C1740" w:rsidRPr="00403E6A">
        <w:rPr>
          <w:rFonts w:ascii="Times New Roman" w:hAnsi="Times New Roman" w:cs="Times New Roman"/>
          <w:sz w:val="24"/>
          <w:szCs w:val="24"/>
        </w:rPr>
        <w:t xml:space="preserve"> </w:t>
      </w:r>
      <w:r w:rsidR="00466DD2">
        <w:rPr>
          <w:rFonts w:ascii="Times New Roman" w:hAnsi="Times New Roman" w:cs="Times New Roman"/>
          <w:sz w:val="24"/>
          <w:szCs w:val="24"/>
        </w:rPr>
        <w:t>Sanders’s</w:t>
      </w:r>
      <w:r w:rsidR="00E1673B" w:rsidRPr="00403E6A">
        <w:rPr>
          <w:rFonts w:ascii="Times New Roman" w:hAnsi="Times New Roman" w:cs="Times New Roman"/>
          <w:sz w:val="24"/>
          <w:szCs w:val="24"/>
        </w:rPr>
        <w:t xml:space="preserve"> egalitarian approach would </w:t>
      </w:r>
      <w:r w:rsidR="00466DD2">
        <w:rPr>
          <w:rFonts w:ascii="Times New Roman" w:hAnsi="Times New Roman" w:cs="Times New Roman"/>
          <w:sz w:val="24"/>
          <w:szCs w:val="24"/>
        </w:rPr>
        <w:t xml:space="preserve">likely </w:t>
      </w:r>
      <w:r w:rsidR="00FB4F6C" w:rsidRPr="00403E6A">
        <w:rPr>
          <w:rFonts w:ascii="Times New Roman" w:hAnsi="Times New Roman" w:cs="Times New Roman"/>
          <w:sz w:val="24"/>
          <w:szCs w:val="24"/>
        </w:rPr>
        <w:t xml:space="preserve">simplify the </w:t>
      </w:r>
      <w:r w:rsidR="00C80240" w:rsidRPr="00403E6A">
        <w:rPr>
          <w:rFonts w:ascii="Times New Roman" w:hAnsi="Times New Roman" w:cs="Times New Roman"/>
          <w:sz w:val="24"/>
          <w:szCs w:val="24"/>
        </w:rPr>
        <w:t xml:space="preserve">point-of-care </w:t>
      </w:r>
      <w:r w:rsidR="00FB4F6C" w:rsidRPr="00403E6A">
        <w:rPr>
          <w:rFonts w:ascii="Times New Roman" w:hAnsi="Times New Roman" w:cs="Times New Roman"/>
          <w:sz w:val="24"/>
          <w:szCs w:val="24"/>
        </w:rPr>
        <w:t xml:space="preserve">transactional process, because of consumers’ ability to </w:t>
      </w:r>
      <w:r w:rsidR="00BF3625" w:rsidRPr="00403E6A">
        <w:rPr>
          <w:rFonts w:ascii="Times New Roman" w:hAnsi="Times New Roman" w:cs="Times New Roman"/>
          <w:sz w:val="24"/>
          <w:szCs w:val="24"/>
        </w:rPr>
        <w:t>utilize any providers’ services.</w:t>
      </w:r>
      <w:r w:rsidR="00466DD2">
        <w:rPr>
          <w:rStyle w:val="FootnoteReference"/>
          <w:rFonts w:ascii="Times New Roman" w:hAnsi="Times New Roman" w:cs="Times New Roman"/>
          <w:sz w:val="24"/>
          <w:szCs w:val="24"/>
        </w:rPr>
        <w:footnoteReference w:id="160"/>
      </w:r>
      <w:r w:rsidR="00466DD2">
        <w:rPr>
          <w:rFonts w:ascii="Times New Roman" w:hAnsi="Times New Roman" w:cs="Times New Roman"/>
          <w:sz w:val="24"/>
          <w:szCs w:val="24"/>
        </w:rPr>
        <w:t xml:space="preserve"> </w:t>
      </w:r>
      <w:r w:rsidR="00BE7EEB" w:rsidRPr="00403E6A">
        <w:rPr>
          <w:rFonts w:ascii="Times New Roman" w:hAnsi="Times New Roman" w:cs="Times New Roman"/>
          <w:sz w:val="24"/>
          <w:szCs w:val="24"/>
        </w:rPr>
        <w:t>Addition</w:t>
      </w:r>
      <w:r w:rsidR="009C1783" w:rsidRPr="00403E6A">
        <w:rPr>
          <w:rFonts w:ascii="Times New Roman" w:hAnsi="Times New Roman" w:cs="Times New Roman"/>
          <w:sz w:val="24"/>
          <w:szCs w:val="24"/>
        </w:rPr>
        <w:t xml:space="preserve">ally, </w:t>
      </w:r>
      <w:r w:rsidR="00F2711E" w:rsidRPr="00403E6A">
        <w:rPr>
          <w:rFonts w:ascii="Times New Roman" w:hAnsi="Times New Roman" w:cs="Times New Roman"/>
          <w:sz w:val="24"/>
          <w:szCs w:val="24"/>
        </w:rPr>
        <w:t xml:space="preserve">the statute </w:t>
      </w:r>
      <w:r w:rsidR="007C2D2E" w:rsidRPr="00403E6A">
        <w:rPr>
          <w:rFonts w:ascii="Times New Roman" w:hAnsi="Times New Roman" w:cs="Times New Roman"/>
          <w:sz w:val="24"/>
          <w:szCs w:val="24"/>
        </w:rPr>
        <w:t>includes “a process for the automatic enrollment of individuals”</w:t>
      </w:r>
      <w:r w:rsidR="00120627">
        <w:rPr>
          <w:rStyle w:val="FootnoteReference"/>
          <w:rFonts w:ascii="Times New Roman" w:hAnsi="Times New Roman" w:cs="Times New Roman"/>
          <w:sz w:val="24"/>
          <w:szCs w:val="24"/>
        </w:rPr>
        <w:footnoteReference w:id="161"/>
      </w:r>
      <w:r w:rsidR="00C716DE" w:rsidRPr="00403E6A">
        <w:rPr>
          <w:rFonts w:ascii="Times New Roman" w:hAnsi="Times New Roman" w:cs="Times New Roman"/>
          <w:sz w:val="24"/>
          <w:szCs w:val="24"/>
        </w:rPr>
        <w:t>,</w:t>
      </w:r>
      <w:r w:rsidR="007C2D2E" w:rsidRPr="00403E6A">
        <w:rPr>
          <w:rFonts w:ascii="Times New Roman" w:hAnsi="Times New Roman" w:cs="Times New Roman"/>
          <w:sz w:val="24"/>
          <w:szCs w:val="24"/>
        </w:rPr>
        <w:t xml:space="preserve"> </w:t>
      </w:r>
      <w:r w:rsidR="00C716DE" w:rsidRPr="00403E6A">
        <w:rPr>
          <w:rFonts w:ascii="Times New Roman" w:hAnsi="Times New Roman" w:cs="Times New Roman"/>
          <w:sz w:val="24"/>
          <w:szCs w:val="24"/>
        </w:rPr>
        <w:t>which would</w:t>
      </w:r>
      <w:r w:rsidR="00D87FD2" w:rsidRPr="00403E6A">
        <w:rPr>
          <w:rFonts w:ascii="Times New Roman" w:hAnsi="Times New Roman" w:cs="Times New Roman"/>
          <w:sz w:val="24"/>
          <w:szCs w:val="24"/>
        </w:rPr>
        <w:t xml:space="preserve">, in </w:t>
      </w:r>
      <w:r w:rsidR="00BF12F9" w:rsidRPr="00403E6A">
        <w:rPr>
          <w:rFonts w:ascii="Times New Roman" w:hAnsi="Times New Roman" w:cs="Times New Roman"/>
          <w:sz w:val="24"/>
          <w:szCs w:val="24"/>
        </w:rPr>
        <w:t>theory</w:t>
      </w:r>
      <w:r w:rsidR="00D87FD2" w:rsidRPr="00403E6A">
        <w:rPr>
          <w:rFonts w:ascii="Times New Roman" w:hAnsi="Times New Roman" w:cs="Times New Roman"/>
          <w:sz w:val="24"/>
          <w:szCs w:val="24"/>
        </w:rPr>
        <w:t>,</w:t>
      </w:r>
      <w:r w:rsidR="00C716DE" w:rsidRPr="00403E6A">
        <w:rPr>
          <w:rFonts w:ascii="Times New Roman" w:hAnsi="Times New Roman" w:cs="Times New Roman"/>
          <w:sz w:val="24"/>
          <w:szCs w:val="24"/>
        </w:rPr>
        <w:t xml:space="preserve"> </w:t>
      </w:r>
      <w:r w:rsidR="00D87FD2" w:rsidRPr="00403E6A">
        <w:rPr>
          <w:rFonts w:ascii="Times New Roman" w:hAnsi="Times New Roman" w:cs="Times New Roman"/>
          <w:sz w:val="24"/>
          <w:szCs w:val="24"/>
        </w:rPr>
        <w:t>further simplify the health care purchasing process</w:t>
      </w:r>
      <w:r w:rsidR="00CC3377" w:rsidRPr="00403E6A">
        <w:rPr>
          <w:rFonts w:ascii="Times New Roman" w:hAnsi="Times New Roman" w:cs="Times New Roman"/>
          <w:sz w:val="24"/>
          <w:szCs w:val="24"/>
        </w:rPr>
        <w:t xml:space="preserve">, as </w:t>
      </w:r>
      <w:r w:rsidR="00EE446D" w:rsidRPr="00403E6A">
        <w:rPr>
          <w:rFonts w:ascii="Times New Roman" w:hAnsi="Times New Roman" w:cs="Times New Roman"/>
          <w:sz w:val="24"/>
          <w:szCs w:val="24"/>
        </w:rPr>
        <w:t xml:space="preserve">consumers would not have to consider the status of </w:t>
      </w:r>
      <w:r w:rsidR="001E1124" w:rsidRPr="00403E6A">
        <w:rPr>
          <w:rFonts w:ascii="Times New Roman" w:hAnsi="Times New Roman" w:cs="Times New Roman"/>
          <w:sz w:val="24"/>
          <w:szCs w:val="24"/>
        </w:rPr>
        <w:t xml:space="preserve">their private </w:t>
      </w:r>
      <w:r w:rsidR="00EE446D" w:rsidRPr="00403E6A">
        <w:rPr>
          <w:rFonts w:ascii="Times New Roman" w:hAnsi="Times New Roman" w:cs="Times New Roman"/>
          <w:sz w:val="24"/>
          <w:szCs w:val="24"/>
        </w:rPr>
        <w:t>insurance plan</w:t>
      </w:r>
      <w:r w:rsidR="00D87FD2" w:rsidRPr="00403E6A">
        <w:rPr>
          <w:rFonts w:ascii="Times New Roman" w:hAnsi="Times New Roman" w:cs="Times New Roman"/>
          <w:sz w:val="24"/>
          <w:szCs w:val="24"/>
        </w:rPr>
        <w:t xml:space="preserve">. </w:t>
      </w:r>
    </w:p>
    <w:p w14:paraId="5455965F" w14:textId="13C34BDA" w:rsidR="001B4EA2" w:rsidRPr="00403E6A" w:rsidRDefault="002313C7" w:rsidP="00BD631E">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r>
      <w:r w:rsidR="009B3050" w:rsidRPr="00403E6A">
        <w:rPr>
          <w:rFonts w:ascii="Times New Roman" w:hAnsi="Times New Roman" w:cs="Times New Roman"/>
          <w:sz w:val="24"/>
          <w:szCs w:val="24"/>
        </w:rPr>
        <w:t xml:space="preserve">Sanders’ </w:t>
      </w:r>
      <w:r w:rsidR="00E07458" w:rsidRPr="00403E6A">
        <w:rPr>
          <w:rFonts w:ascii="Times New Roman" w:hAnsi="Times New Roman" w:cs="Times New Roman"/>
          <w:sz w:val="24"/>
          <w:szCs w:val="24"/>
        </w:rPr>
        <w:t>state-sponsored insurance</w:t>
      </w:r>
      <w:r w:rsidR="00930BBC" w:rsidRPr="00403E6A">
        <w:rPr>
          <w:rFonts w:ascii="Times New Roman" w:hAnsi="Times New Roman" w:cs="Times New Roman"/>
          <w:sz w:val="24"/>
          <w:szCs w:val="24"/>
        </w:rPr>
        <w:t xml:space="preserve"> </w:t>
      </w:r>
      <w:r w:rsidR="009B3050" w:rsidRPr="00403E6A">
        <w:rPr>
          <w:rFonts w:ascii="Times New Roman" w:hAnsi="Times New Roman" w:cs="Times New Roman"/>
          <w:sz w:val="24"/>
          <w:szCs w:val="24"/>
        </w:rPr>
        <w:t>bill</w:t>
      </w:r>
      <w:r w:rsidR="00E07458" w:rsidRPr="00403E6A">
        <w:rPr>
          <w:rFonts w:ascii="Times New Roman" w:hAnsi="Times New Roman" w:cs="Times New Roman"/>
          <w:sz w:val="24"/>
          <w:szCs w:val="24"/>
        </w:rPr>
        <w:t xml:space="preserve"> </w:t>
      </w:r>
      <w:r w:rsidR="00FF532A" w:rsidRPr="00403E6A">
        <w:rPr>
          <w:rFonts w:ascii="Times New Roman" w:hAnsi="Times New Roman" w:cs="Times New Roman"/>
          <w:sz w:val="24"/>
          <w:szCs w:val="24"/>
        </w:rPr>
        <w:t xml:space="preserve">guarantees coverage </w:t>
      </w:r>
      <w:r w:rsidR="00090E73" w:rsidRPr="00403E6A">
        <w:rPr>
          <w:rFonts w:ascii="Times New Roman" w:hAnsi="Times New Roman" w:cs="Times New Roman"/>
          <w:sz w:val="24"/>
          <w:szCs w:val="24"/>
        </w:rPr>
        <w:t xml:space="preserve">of an array of </w:t>
      </w:r>
      <w:r w:rsidR="00187BC3" w:rsidRPr="00403E6A">
        <w:rPr>
          <w:rFonts w:ascii="Times New Roman" w:hAnsi="Times New Roman" w:cs="Times New Roman"/>
          <w:sz w:val="24"/>
          <w:szCs w:val="24"/>
        </w:rPr>
        <w:t>potential health care needs</w:t>
      </w:r>
      <w:r w:rsidR="00107558" w:rsidRPr="00403E6A">
        <w:rPr>
          <w:rFonts w:ascii="Times New Roman" w:hAnsi="Times New Roman" w:cs="Times New Roman"/>
          <w:sz w:val="24"/>
          <w:szCs w:val="24"/>
        </w:rPr>
        <w:t xml:space="preserve"> </w:t>
      </w:r>
      <w:r w:rsidR="00BC7ABE" w:rsidRPr="00403E6A">
        <w:rPr>
          <w:rFonts w:ascii="Times New Roman" w:hAnsi="Times New Roman" w:cs="Times New Roman"/>
          <w:sz w:val="24"/>
          <w:szCs w:val="24"/>
        </w:rPr>
        <w:t>including inpatient</w:t>
      </w:r>
      <w:r w:rsidR="00107558" w:rsidRPr="00403E6A">
        <w:rPr>
          <w:rFonts w:ascii="Times New Roman" w:hAnsi="Times New Roman" w:cs="Times New Roman"/>
          <w:sz w:val="24"/>
          <w:szCs w:val="24"/>
        </w:rPr>
        <w:t xml:space="preserve"> and outpatient h</w:t>
      </w:r>
      <w:r w:rsidR="003F0101" w:rsidRPr="00403E6A">
        <w:rPr>
          <w:rFonts w:ascii="Times New Roman" w:hAnsi="Times New Roman" w:cs="Times New Roman"/>
          <w:sz w:val="24"/>
          <w:szCs w:val="24"/>
        </w:rPr>
        <w:t xml:space="preserve">ospital services, </w:t>
      </w:r>
      <w:r w:rsidR="00BC7ABE" w:rsidRPr="00403E6A">
        <w:rPr>
          <w:rFonts w:ascii="Times New Roman" w:hAnsi="Times New Roman" w:cs="Times New Roman"/>
          <w:sz w:val="24"/>
          <w:szCs w:val="24"/>
        </w:rPr>
        <w:t>a</w:t>
      </w:r>
      <w:r w:rsidR="003F0101" w:rsidRPr="00403E6A">
        <w:rPr>
          <w:rFonts w:ascii="Times New Roman" w:hAnsi="Times New Roman" w:cs="Times New Roman"/>
          <w:sz w:val="24"/>
          <w:szCs w:val="24"/>
        </w:rPr>
        <w:t>mbulatory patient services</w:t>
      </w:r>
      <w:r w:rsidR="00BC7ABE" w:rsidRPr="00403E6A">
        <w:rPr>
          <w:rFonts w:ascii="Times New Roman" w:hAnsi="Times New Roman" w:cs="Times New Roman"/>
          <w:sz w:val="24"/>
          <w:szCs w:val="24"/>
        </w:rPr>
        <w:t>, p</w:t>
      </w:r>
      <w:r w:rsidR="003F0101" w:rsidRPr="00403E6A">
        <w:rPr>
          <w:rFonts w:ascii="Times New Roman" w:hAnsi="Times New Roman" w:cs="Times New Roman"/>
          <w:sz w:val="24"/>
          <w:szCs w:val="24"/>
        </w:rPr>
        <w:t xml:space="preserve">rimary and preventive services, </w:t>
      </w:r>
      <w:r w:rsidR="00D16ED3" w:rsidRPr="00403E6A">
        <w:rPr>
          <w:rFonts w:ascii="Times New Roman" w:hAnsi="Times New Roman" w:cs="Times New Roman"/>
          <w:sz w:val="24"/>
          <w:szCs w:val="24"/>
        </w:rPr>
        <w:t>p</w:t>
      </w:r>
      <w:r w:rsidR="003F0101" w:rsidRPr="00403E6A">
        <w:rPr>
          <w:rFonts w:ascii="Times New Roman" w:hAnsi="Times New Roman" w:cs="Times New Roman"/>
          <w:sz w:val="24"/>
          <w:szCs w:val="24"/>
        </w:rPr>
        <w:t xml:space="preserve">rescription drugs, </w:t>
      </w:r>
      <w:r w:rsidR="00D16ED3" w:rsidRPr="00403E6A">
        <w:rPr>
          <w:rFonts w:ascii="Times New Roman" w:hAnsi="Times New Roman" w:cs="Times New Roman"/>
          <w:sz w:val="24"/>
          <w:szCs w:val="24"/>
        </w:rPr>
        <w:t>m</w:t>
      </w:r>
      <w:r w:rsidR="003F0101" w:rsidRPr="00403E6A">
        <w:rPr>
          <w:rFonts w:ascii="Times New Roman" w:hAnsi="Times New Roman" w:cs="Times New Roman"/>
          <w:sz w:val="24"/>
          <w:szCs w:val="24"/>
        </w:rPr>
        <w:t>ental health and substance abuse treatment</w:t>
      </w:r>
      <w:r w:rsidR="00D16ED3" w:rsidRPr="00403E6A">
        <w:rPr>
          <w:rFonts w:ascii="Times New Roman" w:hAnsi="Times New Roman" w:cs="Times New Roman"/>
          <w:sz w:val="24"/>
          <w:szCs w:val="24"/>
        </w:rPr>
        <w:t>,</w:t>
      </w:r>
      <w:r w:rsidR="003F0101" w:rsidRPr="00403E6A">
        <w:rPr>
          <w:rFonts w:ascii="Times New Roman" w:hAnsi="Times New Roman" w:cs="Times New Roman"/>
          <w:sz w:val="24"/>
          <w:szCs w:val="24"/>
        </w:rPr>
        <w:t xml:space="preserve"> </w:t>
      </w:r>
      <w:r w:rsidR="00D16ED3" w:rsidRPr="00403E6A">
        <w:rPr>
          <w:rFonts w:ascii="Times New Roman" w:hAnsi="Times New Roman" w:cs="Times New Roman"/>
          <w:sz w:val="24"/>
          <w:szCs w:val="24"/>
        </w:rPr>
        <w:t>l</w:t>
      </w:r>
      <w:r w:rsidR="003F0101" w:rsidRPr="00403E6A">
        <w:rPr>
          <w:rFonts w:ascii="Times New Roman" w:hAnsi="Times New Roman" w:cs="Times New Roman"/>
          <w:sz w:val="24"/>
          <w:szCs w:val="24"/>
        </w:rPr>
        <w:t>aboratory and diagnostic services</w:t>
      </w:r>
      <w:r w:rsidR="00003F73" w:rsidRPr="00403E6A">
        <w:rPr>
          <w:rFonts w:ascii="Times New Roman" w:hAnsi="Times New Roman" w:cs="Times New Roman"/>
          <w:sz w:val="24"/>
          <w:szCs w:val="24"/>
        </w:rPr>
        <w:t>, c</w:t>
      </w:r>
      <w:r w:rsidR="003F0101" w:rsidRPr="00403E6A">
        <w:rPr>
          <w:rFonts w:ascii="Times New Roman" w:hAnsi="Times New Roman" w:cs="Times New Roman"/>
          <w:sz w:val="24"/>
          <w:szCs w:val="24"/>
        </w:rPr>
        <w:t xml:space="preserve">omprehensive </w:t>
      </w:r>
      <w:r w:rsidR="00003F73" w:rsidRPr="00403E6A">
        <w:rPr>
          <w:rFonts w:ascii="Times New Roman" w:hAnsi="Times New Roman" w:cs="Times New Roman"/>
          <w:sz w:val="24"/>
          <w:szCs w:val="24"/>
        </w:rPr>
        <w:t xml:space="preserve">maternity </w:t>
      </w:r>
      <w:r w:rsidR="003F0101" w:rsidRPr="00403E6A">
        <w:rPr>
          <w:rFonts w:ascii="Times New Roman" w:hAnsi="Times New Roman" w:cs="Times New Roman"/>
          <w:sz w:val="24"/>
          <w:szCs w:val="24"/>
        </w:rPr>
        <w:t>and newborn care</w:t>
      </w:r>
      <w:r w:rsidR="00003F73" w:rsidRPr="00403E6A">
        <w:rPr>
          <w:rFonts w:ascii="Times New Roman" w:hAnsi="Times New Roman" w:cs="Times New Roman"/>
          <w:sz w:val="24"/>
          <w:szCs w:val="24"/>
        </w:rPr>
        <w:t>, p</w:t>
      </w:r>
      <w:r w:rsidR="003F0101" w:rsidRPr="00403E6A">
        <w:rPr>
          <w:rFonts w:ascii="Times New Roman" w:hAnsi="Times New Roman" w:cs="Times New Roman"/>
          <w:sz w:val="24"/>
          <w:szCs w:val="24"/>
        </w:rPr>
        <w:t xml:space="preserve">ediatrics, </w:t>
      </w:r>
      <w:r w:rsidR="000F2596" w:rsidRPr="00403E6A">
        <w:rPr>
          <w:rFonts w:ascii="Times New Roman" w:hAnsi="Times New Roman" w:cs="Times New Roman"/>
          <w:sz w:val="24"/>
          <w:szCs w:val="24"/>
        </w:rPr>
        <w:t xml:space="preserve">dental and vision, </w:t>
      </w:r>
      <w:r w:rsidR="005A59C7" w:rsidRPr="00403E6A">
        <w:rPr>
          <w:rFonts w:ascii="Times New Roman" w:hAnsi="Times New Roman" w:cs="Times New Roman"/>
          <w:sz w:val="24"/>
          <w:szCs w:val="24"/>
        </w:rPr>
        <w:t xml:space="preserve">and </w:t>
      </w:r>
      <w:r w:rsidR="00187BC3" w:rsidRPr="00403E6A">
        <w:rPr>
          <w:rFonts w:ascii="Times New Roman" w:hAnsi="Times New Roman" w:cs="Times New Roman"/>
          <w:sz w:val="24"/>
          <w:szCs w:val="24"/>
        </w:rPr>
        <w:t>s</w:t>
      </w:r>
      <w:r w:rsidR="003F0101" w:rsidRPr="00403E6A">
        <w:rPr>
          <w:rFonts w:ascii="Times New Roman" w:hAnsi="Times New Roman" w:cs="Times New Roman"/>
          <w:sz w:val="24"/>
          <w:szCs w:val="24"/>
        </w:rPr>
        <w:t>hort-term rehabilitative and habilitative services and devices.</w:t>
      </w:r>
      <w:r w:rsidR="00BF39CB">
        <w:rPr>
          <w:rStyle w:val="FootnoteReference"/>
          <w:rFonts w:ascii="Times New Roman" w:hAnsi="Times New Roman" w:cs="Times New Roman"/>
          <w:sz w:val="24"/>
          <w:szCs w:val="24"/>
        </w:rPr>
        <w:footnoteReference w:id="162"/>
      </w:r>
      <w:r w:rsidR="003F0101" w:rsidRPr="00403E6A">
        <w:rPr>
          <w:rFonts w:ascii="Times New Roman" w:hAnsi="Times New Roman" w:cs="Times New Roman"/>
          <w:sz w:val="24"/>
          <w:szCs w:val="24"/>
        </w:rPr>
        <w:t xml:space="preserve"> </w:t>
      </w:r>
      <w:r w:rsidR="005A59C7" w:rsidRPr="00403E6A">
        <w:rPr>
          <w:rFonts w:ascii="Times New Roman" w:hAnsi="Times New Roman" w:cs="Times New Roman"/>
          <w:sz w:val="24"/>
          <w:szCs w:val="24"/>
        </w:rPr>
        <w:t>The</w:t>
      </w:r>
      <w:r w:rsidR="00132E8F" w:rsidRPr="00403E6A">
        <w:rPr>
          <w:rFonts w:ascii="Times New Roman" w:hAnsi="Times New Roman" w:cs="Times New Roman"/>
          <w:sz w:val="24"/>
          <w:szCs w:val="24"/>
        </w:rPr>
        <w:t xml:space="preserve"> proposal also includes e</w:t>
      </w:r>
      <w:r w:rsidR="003F0101" w:rsidRPr="00403E6A">
        <w:rPr>
          <w:rFonts w:ascii="Times New Roman" w:hAnsi="Times New Roman" w:cs="Times New Roman"/>
          <w:sz w:val="24"/>
          <w:szCs w:val="24"/>
        </w:rPr>
        <w:t xml:space="preserve">mergency services and </w:t>
      </w:r>
      <w:r w:rsidR="00132E8F" w:rsidRPr="00403E6A">
        <w:rPr>
          <w:rFonts w:ascii="Times New Roman" w:hAnsi="Times New Roman" w:cs="Times New Roman"/>
          <w:sz w:val="24"/>
          <w:szCs w:val="24"/>
        </w:rPr>
        <w:t xml:space="preserve">necessary </w:t>
      </w:r>
      <w:r w:rsidR="003F0101" w:rsidRPr="00403E6A">
        <w:rPr>
          <w:rFonts w:ascii="Times New Roman" w:hAnsi="Times New Roman" w:cs="Times New Roman"/>
          <w:sz w:val="24"/>
          <w:szCs w:val="24"/>
        </w:rPr>
        <w:t xml:space="preserve">transportation for individuals with disabilities and </w:t>
      </w:r>
      <w:r w:rsidR="00772AA8" w:rsidRPr="00403E6A">
        <w:rPr>
          <w:rFonts w:ascii="Times New Roman" w:hAnsi="Times New Roman" w:cs="Times New Roman"/>
          <w:sz w:val="24"/>
          <w:szCs w:val="24"/>
        </w:rPr>
        <w:t xml:space="preserve">of </w:t>
      </w:r>
      <w:r w:rsidR="003F0101" w:rsidRPr="00403E6A">
        <w:rPr>
          <w:rFonts w:ascii="Times New Roman" w:hAnsi="Times New Roman" w:cs="Times New Roman"/>
          <w:sz w:val="24"/>
          <w:szCs w:val="24"/>
        </w:rPr>
        <w:t>low</w:t>
      </w:r>
      <w:r w:rsidR="008E160A" w:rsidRPr="00403E6A">
        <w:rPr>
          <w:rFonts w:ascii="Times New Roman" w:hAnsi="Times New Roman" w:cs="Times New Roman"/>
          <w:sz w:val="24"/>
          <w:szCs w:val="24"/>
        </w:rPr>
        <w:t>-</w:t>
      </w:r>
      <w:r w:rsidR="003F0101" w:rsidRPr="00403E6A">
        <w:rPr>
          <w:rFonts w:ascii="Times New Roman" w:hAnsi="Times New Roman" w:cs="Times New Roman"/>
          <w:sz w:val="24"/>
          <w:szCs w:val="24"/>
        </w:rPr>
        <w:t>income.</w:t>
      </w:r>
      <w:r w:rsidR="0044327C">
        <w:rPr>
          <w:rStyle w:val="FootnoteReference"/>
          <w:rFonts w:ascii="Times New Roman" w:hAnsi="Times New Roman" w:cs="Times New Roman"/>
          <w:sz w:val="24"/>
          <w:szCs w:val="24"/>
        </w:rPr>
        <w:footnoteReference w:id="163"/>
      </w:r>
      <w:r w:rsidR="003F0101" w:rsidRPr="00403E6A">
        <w:rPr>
          <w:rFonts w:ascii="Times New Roman" w:hAnsi="Times New Roman" w:cs="Times New Roman"/>
          <w:sz w:val="24"/>
          <w:szCs w:val="24"/>
        </w:rPr>
        <w:t xml:space="preserve"> </w:t>
      </w:r>
      <w:r w:rsidR="007C462E" w:rsidRPr="00403E6A">
        <w:rPr>
          <w:rFonts w:ascii="Times New Roman" w:hAnsi="Times New Roman" w:cs="Times New Roman"/>
          <w:sz w:val="24"/>
          <w:szCs w:val="24"/>
        </w:rPr>
        <w:t>T</w:t>
      </w:r>
      <w:r w:rsidR="00A03823" w:rsidRPr="00403E6A">
        <w:rPr>
          <w:rFonts w:ascii="Times New Roman" w:hAnsi="Times New Roman" w:cs="Times New Roman"/>
          <w:sz w:val="24"/>
          <w:szCs w:val="24"/>
        </w:rPr>
        <w:t xml:space="preserve">he Secretary of Health and Human Services (HHS) would </w:t>
      </w:r>
      <w:r w:rsidR="00197626" w:rsidRPr="00403E6A">
        <w:rPr>
          <w:rFonts w:ascii="Times New Roman" w:hAnsi="Times New Roman" w:cs="Times New Roman"/>
          <w:sz w:val="24"/>
          <w:szCs w:val="24"/>
        </w:rPr>
        <w:t xml:space="preserve">be tasked with </w:t>
      </w:r>
      <w:r w:rsidR="00FF2357" w:rsidRPr="00403E6A">
        <w:rPr>
          <w:rFonts w:ascii="Times New Roman" w:hAnsi="Times New Roman" w:cs="Times New Roman"/>
          <w:sz w:val="24"/>
          <w:szCs w:val="24"/>
        </w:rPr>
        <w:t xml:space="preserve">recommending reforms to the benefits package </w:t>
      </w:r>
      <w:r w:rsidR="00F11A1A" w:rsidRPr="00403E6A">
        <w:rPr>
          <w:rFonts w:ascii="Times New Roman" w:hAnsi="Times New Roman" w:cs="Times New Roman"/>
          <w:sz w:val="24"/>
          <w:szCs w:val="24"/>
        </w:rPr>
        <w:t>for lawmakers to consider.</w:t>
      </w:r>
      <w:r w:rsidR="004E305B">
        <w:rPr>
          <w:rStyle w:val="FootnoteReference"/>
          <w:rFonts w:ascii="Times New Roman" w:hAnsi="Times New Roman" w:cs="Times New Roman"/>
          <w:sz w:val="24"/>
          <w:szCs w:val="24"/>
        </w:rPr>
        <w:footnoteReference w:id="164"/>
      </w:r>
      <w:r w:rsidR="00F11A1A" w:rsidRPr="00403E6A">
        <w:rPr>
          <w:rFonts w:ascii="Times New Roman" w:hAnsi="Times New Roman" w:cs="Times New Roman"/>
          <w:sz w:val="24"/>
          <w:szCs w:val="24"/>
        </w:rPr>
        <w:t xml:space="preserve"> </w:t>
      </w:r>
    </w:p>
    <w:p w14:paraId="093640CC" w14:textId="7E42AC1B" w:rsidR="002565A7" w:rsidRPr="00403E6A" w:rsidRDefault="00D34CCB" w:rsidP="00F012AD">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lastRenderedPageBreak/>
        <w:tab/>
      </w:r>
      <w:r w:rsidR="009B3050" w:rsidRPr="00403E6A">
        <w:rPr>
          <w:rFonts w:ascii="Times New Roman" w:hAnsi="Times New Roman" w:cs="Times New Roman"/>
          <w:sz w:val="24"/>
          <w:szCs w:val="24"/>
        </w:rPr>
        <w:t>Moreover, t</w:t>
      </w:r>
      <w:r w:rsidRPr="00403E6A">
        <w:rPr>
          <w:rFonts w:ascii="Times New Roman" w:hAnsi="Times New Roman" w:cs="Times New Roman"/>
          <w:sz w:val="24"/>
          <w:szCs w:val="24"/>
        </w:rPr>
        <w:t xml:space="preserve">he bill would </w:t>
      </w:r>
      <w:r w:rsidR="00C82174" w:rsidRPr="00403E6A">
        <w:rPr>
          <w:rFonts w:ascii="Times New Roman" w:hAnsi="Times New Roman" w:cs="Times New Roman"/>
          <w:sz w:val="24"/>
          <w:szCs w:val="24"/>
        </w:rPr>
        <w:t>drastically alter the relationship between payer and provider</w:t>
      </w:r>
      <w:r w:rsidR="009B3050" w:rsidRPr="00403E6A">
        <w:rPr>
          <w:rFonts w:ascii="Times New Roman" w:hAnsi="Times New Roman" w:cs="Times New Roman"/>
          <w:sz w:val="24"/>
          <w:szCs w:val="24"/>
        </w:rPr>
        <w:t xml:space="preserve">. </w:t>
      </w:r>
      <w:r w:rsidR="00E32A88" w:rsidRPr="00403E6A">
        <w:rPr>
          <w:rFonts w:ascii="Times New Roman" w:hAnsi="Times New Roman" w:cs="Times New Roman"/>
          <w:sz w:val="24"/>
          <w:szCs w:val="24"/>
        </w:rPr>
        <w:t>Under the proposal, t</w:t>
      </w:r>
      <w:r w:rsidR="00877CB0" w:rsidRPr="00403E6A">
        <w:rPr>
          <w:rFonts w:ascii="Times New Roman" w:hAnsi="Times New Roman" w:cs="Times New Roman"/>
          <w:sz w:val="24"/>
          <w:szCs w:val="24"/>
        </w:rPr>
        <w:t xml:space="preserve">he government would set </w:t>
      </w:r>
      <w:r w:rsidR="00F20D41" w:rsidRPr="00403E6A">
        <w:rPr>
          <w:rFonts w:ascii="Times New Roman" w:hAnsi="Times New Roman" w:cs="Times New Roman"/>
          <w:sz w:val="24"/>
          <w:szCs w:val="24"/>
        </w:rPr>
        <w:t>service rates paid to</w:t>
      </w:r>
      <w:r w:rsidR="00E17648" w:rsidRPr="00403E6A">
        <w:rPr>
          <w:rFonts w:ascii="Times New Roman" w:hAnsi="Times New Roman" w:cs="Times New Roman"/>
          <w:sz w:val="24"/>
          <w:szCs w:val="24"/>
        </w:rPr>
        <w:t xml:space="preserve"> doctors, hospitals, and pharmaceutical companies</w:t>
      </w:r>
      <w:r w:rsidR="00D56E51" w:rsidRPr="00403E6A">
        <w:rPr>
          <w:rFonts w:ascii="Times New Roman" w:hAnsi="Times New Roman" w:cs="Times New Roman"/>
          <w:sz w:val="24"/>
          <w:szCs w:val="24"/>
        </w:rPr>
        <w:t xml:space="preserve"> for services provided</w:t>
      </w:r>
      <w:r w:rsidR="00E17648" w:rsidRPr="00403E6A">
        <w:rPr>
          <w:rFonts w:ascii="Times New Roman" w:hAnsi="Times New Roman" w:cs="Times New Roman"/>
          <w:sz w:val="24"/>
          <w:szCs w:val="24"/>
        </w:rPr>
        <w:t>.</w:t>
      </w:r>
      <w:r w:rsidR="00176025">
        <w:rPr>
          <w:rStyle w:val="FootnoteReference"/>
          <w:rFonts w:ascii="Times New Roman" w:hAnsi="Times New Roman" w:cs="Times New Roman"/>
          <w:sz w:val="24"/>
          <w:szCs w:val="24"/>
        </w:rPr>
        <w:footnoteReference w:id="165"/>
      </w:r>
      <w:r w:rsidR="00E17648" w:rsidRPr="00403E6A">
        <w:rPr>
          <w:rFonts w:ascii="Times New Roman" w:hAnsi="Times New Roman" w:cs="Times New Roman"/>
          <w:sz w:val="24"/>
          <w:szCs w:val="24"/>
        </w:rPr>
        <w:t xml:space="preserve"> </w:t>
      </w:r>
      <w:r w:rsidR="00C70791" w:rsidRPr="00403E6A">
        <w:rPr>
          <w:rFonts w:ascii="Times New Roman" w:hAnsi="Times New Roman" w:cs="Times New Roman"/>
          <w:sz w:val="24"/>
          <w:szCs w:val="24"/>
        </w:rPr>
        <w:t>Th</w:t>
      </w:r>
      <w:r w:rsidR="00BC108E" w:rsidRPr="00403E6A">
        <w:rPr>
          <w:rFonts w:ascii="Times New Roman" w:hAnsi="Times New Roman" w:cs="Times New Roman"/>
          <w:sz w:val="24"/>
          <w:szCs w:val="24"/>
        </w:rPr>
        <w:t xml:space="preserve">ese rates would be delivered in </w:t>
      </w:r>
      <w:r w:rsidR="008E0FC9" w:rsidRPr="00403E6A">
        <w:rPr>
          <w:rFonts w:ascii="Times New Roman" w:hAnsi="Times New Roman" w:cs="Times New Roman"/>
          <w:sz w:val="24"/>
          <w:szCs w:val="24"/>
        </w:rPr>
        <w:t xml:space="preserve">two </w:t>
      </w:r>
      <w:r w:rsidR="00AE3922" w:rsidRPr="00403E6A">
        <w:rPr>
          <w:rFonts w:ascii="Times New Roman" w:hAnsi="Times New Roman" w:cs="Times New Roman"/>
          <w:sz w:val="24"/>
          <w:szCs w:val="24"/>
        </w:rPr>
        <w:t xml:space="preserve">annual </w:t>
      </w:r>
      <w:r w:rsidR="00BC108E" w:rsidRPr="00403E6A">
        <w:rPr>
          <w:rFonts w:ascii="Times New Roman" w:hAnsi="Times New Roman" w:cs="Times New Roman"/>
          <w:sz w:val="24"/>
          <w:szCs w:val="24"/>
        </w:rPr>
        <w:t>lump-sum payments</w:t>
      </w:r>
      <w:r w:rsidR="00F8397D" w:rsidRPr="00403E6A">
        <w:rPr>
          <w:rFonts w:ascii="Times New Roman" w:hAnsi="Times New Roman" w:cs="Times New Roman"/>
          <w:sz w:val="24"/>
          <w:szCs w:val="24"/>
        </w:rPr>
        <w:t xml:space="preserve">, which would cover the cost of operations </w:t>
      </w:r>
      <w:r w:rsidR="008E0FC9" w:rsidRPr="00403E6A">
        <w:rPr>
          <w:rFonts w:ascii="Times New Roman" w:hAnsi="Times New Roman" w:cs="Times New Roman"/>
          <w:sz w:val="24"/>
          <w:szCs w:val="24"/>
        </w:rPr>
        <w:t xml:space="preserve">and </w:t>
      </w:r>
      <w:r w:rsidR="002B1B6E" w:rsidRPr="00403E6A">
        <w:rPr>
          <w:rFonts w:ascii="Times New Roman" w:hAnsi="Times New Roman" w:cs="Times New Roman"/>
          <w:sz w:val="24"/>
          <w:szCs w:val="24"/>
        </w:rPr>
        <w:t>capital expenditures.</w:t>
      </w:r>
      <w:r w:rsidR="00E91FA1">
        <w:rPr>
          <w:rStyle w:val="FootnoteReference"/>
          <w:rFonts w:ascii="Times New Roman" w:hAnsi="Times New Roman" w:cs="Times New Roman"/>
          <w:sz w:val="24"/>
          <w:szCs w:val="24"/>
        </w:rPr>
        <w:footnoteReference w:id="166"/>
      </w:r>
      <w:r w:rsidR="00BC108E" w:rsidRPr="00403E6A">
        <w:rPr>
          <w:rFonts w:ascii="Times New Roman" w:hAnsi="Times New Roman" w:cs="Times New Roman"/>
          <w:sz w:val="24"/>
          <w:szCs w:val="24"/>
        </w:rPr>
        <w:t xml:space="preserve"> </w:t>
      </w:r>
      <w:r w:rsidR="00F13403" w:rsidRPr="00403E6A">
        <w:rPr>
          <w:rFonts w:ascii="Times New Roman" w:hAnsi="Times New Roman" w:cs="Times New Roman"/>
          <w:sz w:val="24"/>
          <w:szCs w:val="24"/>
        </w:rPr>
        <w:t xml:space="preserve">Instead of </w:t>
      </w:r>
      <w:r w:rsidR="001F1EB3" w:rsidRPr="00403E6A">
        <w:rPr>
          <w:rFonts w:ascii="Times New Roman" w:hAnsi="Times New Roman" w:cs="Times New Roman"/>
          <w:sz w:val="24"/>
          <w:szCs w:val="24"/>
        </w:rPr>
        <w:t>billing</w:t>
      </w:r>
      <w:r w:rsidR="00F13403" w:rsidRPr="00403E6A">
        <w:rPr>
          <w:rFonts w:ascii="Times New Roman" w:hAnsi="Times New Roman" w:cs="Times New Roman"/>
          <w:sz w:val="24"/>
          <w:szCs w:val="24"/>
        </w:rPr>
        <w:t xml:space="preserve"> insurers, doctors </w:t>
      </w:r>
      <w:r w:rsidR="001F1EB3" w:rsidRPr="00403E6A">
        <w:rPr>
          <w:rFonts w:ascii="Times New Roman" w:hAnsi="Times New Roman" w:cs="Times New Roman"/>
          <w:sz w:val="24"/>
          <w:szCs w:val="24"/>
        </w:rPr>
        <w:t xml:space="preserve">would </w:t>
      </w:r>
      <w:r w:rsidR="00F13403" w:rsidRPr="00403E6A">
        <w:rPr>
          <w:rFonts w:ascii="Times New Roman" w:hAnsi="Times New Roman" w:cs="Times New Roman"/>
          <w:sz w:val="24"/>
          <w:szCs w:val="24"/>
        </w:rPr>
        <w:t xml:space="preserve">only need to send </w:t>
      </w:r>
      <w:r w:rsidR="001F1EB3" w:rsidRPr="00403E6A">
        <w:rPr>
          <w:rFonts w:ascii="Times New Roman" w:hAnsi="Times New Roman" w:cs="Times New Roman"/>
          <w:sz w:val="24"/>
          <w:szCs w:val="24"/>
        </w:rPr>
        <w:t xml:space="preserve">reimbursement invoices </w:t>
      </w:r>
      <w:r w:rsidR="00F13403" w:rsidRPr="00403E6A">
        <w:rPr>
          <w:rFonts w:ascii="Times New Roman" w:hAnsi="Times New Roman" w:cs="Times New Roman"/>
          <w:sz w:val="24"/>
          <w:szCs w:val="24"/>
        </w:rPr>
        <w:t xml:space="preserve">to the federal government. </w:t>
      </w:r>
      <w:r w:rsidR="002E6F2D" w:rsidRPr="00403E6A">
        <w:rPr>
          <w:rFonts w:ascii="Times New Roman" w:hAnsi="Times New Roman" w:cs="Times New Roman"/>
          <w:sz w:val="24"/>
          <w:szCs w:val="24"/>
        </w:rPr>
        <w:t xml:space="preserve">This would likely set lower payments to providers than currently realized </w:t>
      </w:r>
      <w:r w:rsidR="00AF21A3" w:rsidRPr="00403E6A">
        <w:rPr>
          <w:rFonts w:ascii="Times New Roman" w:hAnsi="Times New Roman" w:cs="Times New Roman"/>
          <w:sz w:val="24"/>
          <w:szCs w:val="24"/>
        </w:rPr>
        <w:t xml:space="preserve">with </w:t>
      </w:r>
      <w:r w:rsidR="002E6F2D" w:rsidRPr="00403E6A">
        <w:rPr>
          <w:rFonts w:ascii="Times New Roman" w:hAnsi="Times New Roman" w:cs="Times New Roman"/>
          <w:sz w:val="24"/>
          <w:szCs w:val="24"/>
        </w:rPr>
        <w:t>private insurance companies.</w:t>
      </w:r>
      <w:r w:rsidR="00EF43F7">
        <w:rPr>
          <w:rStyle w:val="FootnoteReference"/>
          <w:rFonts w:ascii="Times New Roman" w:hAnsi="Times New Roman" w:cs="Times New Roman"/>
          <w:sz w:val="24"/>
          <w:szCs w:val="24"/>
        </w:rPr>
        <w:footnoteReference w:id="167"/>
      </w:r>
      <w:r w:rsidR="002E6F2D" w:rsidRPr="00403E6A">
        <w:rPr>
          <w:rFonts w:ascii="Times New Roman" w:hAnsi="Times New Roman" w:cs="Times New Roman"/>
          <w:sz w:val="24"/>
          <w:szCs w:val="24"/>
        </w:rPr>
        <w:t xml:space="preserve"> </w:t>
      </w:r>
      <w:r w:rsidR="00E13696" w:rsidRPr="00403E6A">
        <w:rPr>
          <w:rFonts w:ascii="Times New Roman" w:hAnsi="Times New Roman" w:cs="Times New Roman"/>
          <w:sz w:val="24"/>
          <w:szCs w:val="24"/>
        </w:rPr>
        <w:t xml:space="preserve">Additionally, </w:t>
      </w:r>
      <w:r w:rsidR="00BC2C97" w:rsidRPr="00403E6A">
        <w:rPr>
          <w:rFonts w:ascii="Times New Roman" w:hAnsi="Times New Roman" w:cs="Times New Roman"/>
          <w:sz w:val="24"/>
          <w:szCs w:val="24"/>
        </w:rPr>
        <w:t xml:space="preserve">under the bill, </w:t>
      </w:r>
      <w:r w:rsidR="00B80971" w:rsidRPr="00403E6A">
        <w:rPr>
          <w:rFonts w:ascii="Times New Roman" w:hAnsi="Times New Roman" w:cs="Times New Roman"/>
          <w:sz w:val="24"/>
          <w:szCs w:val="24"/>
        </w:rPr>
        <w:t xml:space="preserve">patients </w:t>
      </w:r>
      <w:r w:rsidR="00E929FA" w:rsidRPr="00403E6A">
        <w:rPr>
          <w:rFonts w:ascii="Times New Roman" w:hAnsi="Times New Roman" w:cs="Times New Roman"/>
          <w:sz w:val="24"/>
          <w:szCs w:val="24"/>
        </w:rPr>
        <w:t>would be</w:t>
      </w:r>
      <w:r w:rsidR="00B80971" w:rsidRPr="00403E6A">
        <w:rPr>
          <w:rFonts w:ascii="Times New Roman" w:hAnsi="Times New Roman" w:cs="Times New Roman"/>
          <w:sz w:val="24"/>
          <w:szCs w:val="24"/>
        </w:rPr>
        <w:t xml:space="preserve"> permitted</w:t>
      </w:r>
      <w:r w:rsidR="00BC2C97" w:rsidRPr="00403E6A">
        <w:rPr>
          <w:rFonts w:ascii="Times New Roman" w:hAnsi="Times New Roman" w:cs="Times New Roman"/>
          <w:sz w:val="24"/>
          <w:szCs w:val="24"/>
        </w:rPr>
        <w:t xml:space="preserve"> to </w:t>
      </w:r>
      <w:r w:rsidR="008B7A8B" w:rsidRPr="00403E6A">
        <w:rPr>
          <w:rFonts w:ascii="Times New Roman" w:hAnsi="Times New Roman" w:cs="Times New Roman"/>
          <w:sz w:val="24"/>
          <w:szCs w:val="24"/>
        </w:rPr>
        <w:t xml:space="preserve">contract with physicians </w:t>
      </w:r>
      <w:r w:rsidR="00937256" w:rsidRPr="00403E6A">
        <w:rPr>
          <w:rFonts w:ascii="Times New Roman" w:hAnsi="Times New Roman" w:cs="Times New Roman"/>
          <w:sz w:val="24"/>
          <w:szCs w:val="24"/>
        </w:rPr>
        <w:t xml:space="preserve">outside the structure </w:t>
      </w:r>
      <w:r w:rsidR="00EA1802" w:rsidRPr="00403E6A">
        <w:rPr>
          <w:rFonts w:ascii="Times New Roman" w:hAnsi="Times New Roman" w:cs="Times New Roman"/>
          <w:sz w:val="24"/>
          <w:szCs w:val="24"/>
        </w:rPr>
        <w:t>of the proposal.</w:t>
      </w:r>
      <w:r w:rsidR="00024EBE">
        <w:rPr>
          <w:rStyle w:val="FootnoteReference"/>
          <w:rFonts w:ascii="Times New Roman" w:hAnsi="Times New Roman" w:cs="Times New Roman"/>
          <w:sz w:val="24"/>
          <w:szCs w:val="24"/>
        </w:rPr>
        <w:footnoteReference w:id="168"/>
      </w:r>
      <w:r w:rsidR="00EA1802" w:rsidRPr="00403E6A">
        <w:rPr>
          <w:rFonts w:ascii="Times New Roman" w:hAnsi="Times New Roman" w:cs="Times New Roman"/>
          <w:sz w:val="24"/>
          <w:szCs w:val="24"/>
        </w:rPr>
        <w:t xml:space="preserve"> However, those providers who </w:t>
      </w:r>
      <w:r w:rsidR="00EF5E4B" w:rsidRPr="00403E6A">
        <w:rPr>
          <w:rFonts w:ascii="Times New Roman" w:hAnsi="Times New Roman" w:cs="Times New Roman"/>
          <w:sz w:val="24"/>
          <w:szCs w:val="24"/>
        </w:rPr>
        <w:t xml:space="preserve">agree to </w:t>
      </w:r>
      <w:r w:rsidR="00F45B51" w:rsidRPr="00403E6A">
        <w:rPr>
          <w:rFonts w:ascii="Times New Roman" w:hAnsi="Times New Roman" w:cs="Times New Roman"/>
          <w:sz w:val="24"/>
          <w:szCs w:val="24"/>
        </w:rPr>
        <w:t xml:space="preserve">private contracts </w:t>
      </w:r>
      <w:r w:rsidR="00EF5E4B" w:rsidRPr="00403E6A">
        <w:rPr>
          <w:rFonts w:ascii="Times New Roman" w:hAnsi="Times New Roman" w:cs="Times New Roman"/>
          <w:sz w:val="24"/>
          <w:szCs w:val="24"/>
        </w:rPr>
        <w:t xml:space="preserve">with consumers </w:t>
      </w:r>
      <w:r w:rsidR="00F45B51" w:rsidRPr="00403E6A">
        <w:rPr>
          <w:rFonts w:ascii="Times New Roman" w:hAnsi="Times New Roman" w:cs="Times New Roman"/>
          <w:sz w:val="24"/>
          <w:szCs w:val="24"/>
        </w:rPr>
        <w:t>will not be permitted to participa</w:t>
      </w:r>
      <w:r w:rsidR="00EF5E4B" w:rsidRPr="00403E6A">
        <w:rPr>
          <w:rFonts w:ascii="Times New Roman" w:hAnsi="Times New Roman" w:cs="Times New Roman"/>
          <w:sz w:val="24"/>
          <w:szCs w:val="24"/>
        </w:rPr>
        <w:t xml:space="preserve">te </w:t>
      </w:r>
      <w:r w:rsidR="00B228DC" w:rsidRPr="00403E6A">
        <w:rPr>
          <w:rFonts w:ascii="Times New Roman" w:hAnsi="Times New Roman" w:cs="Times New Roman"/>
          <w:sz w:val="24"/>
          <w:szCs w:val="24"/>
        </w:rPr>
        <w:t xml:space="preserve">in the nationalized insurance plan for </w:t>
      </w:r>
      <w:r w:rsidR="001A3C4A" w:rsidRPr="00403E6A">
        <w:rPr>
          <w:rFonts w:ascii="Times New Roman" w:hAnsi="Times New Roman" w:cs="Times New Roman"/>
          <w:sz w:val="24"/>
          <w:szCs w:val="24"/>
        </w:rPr>
        <w:t>a year.</w:t>
      </w:r>
      <w:r w:rsidR="00E009D2">
        <w:rPr>
          <w:rStyle w:val="FootnoteReference"/>
          <w:rFonts w:ascii="Times New Roman" w:hAnsi="Times New Roman" w:cs="Times New Roman"/>
          <w:sz w:val="24"/>
          <w:szCs w:val="24"/>
        </w:rPr>
        <w:footnoteReference w:id="169"/>
      </w:r>
      <w:r w:rsidR="00E009D2">
        <w:rPr>
          <w:rFonts w:ascii="Times New Roman" w:hAnsi="Times New Roman" w:cs="Times New Roman"/>
          <w:sz w:val="24"/>
          <w:szCs w:val="24"/>
        </w:rPr>
        <w:t xml:space="preserve"> </w:t>
      </w:r>
      <w:r w:rsidR="001A3C4A" w:rsidRPr="00403E6A">
        <w:rPr>
          <w:rFonts w:ascii="Times New Roman" w:hAnsi="Times New Roman" w:cs="Times New Roman"/>
          <w:sz w:val="24"/>
          <w:szCs w:val="24"/>
        </w:rPr>
        <w:t xml:space="preserve">This </w:t>
      </w:r>
      <w:r w:rsidR="007E4D4E" w:rsidRPr="00403E6A">
        <w:rPr>
          <w:rFonts w:ascii="Times New Roman" w:hAnsi="Times New Roman" w:cs="Times New Roman"/>
          <w:sz w:val="24"/>
          <w:szCs w:val="24"/>
        </w:rPr>
        <w:t xml:space="preserve">provision </w:t>
      </w:r>
      <w:r w:rsidR="001A3C4A" w:rsidRPr="00403E6A">
        <w:rPr>
          <w:rFonts w:ascii="Times New Roman" w:hAnsi="Times New Roman" w:cs="Times New Roman"/>
          <w:sz w:val="24"/>
          <w:szCs w:val="24"/>
        </w:rPr>
        <w:t xml:space="preserve">appears to be a hedge against fears that physicians will </w:t>
      </w:r>
      <w:r w:rsidR="003A134D" w:rsidRPr="00403E6A">
        <w:rPr>
          <w:rFonts w:ascii="Times New Roman" w:hAnsi="Times New Roman" w:cs="Times New Roman"/>
          <w:sz w:val="24"/>
          <w:szCs w:val="24"/>
        </w:rPr>
        <w:t xml:space="preserve">decide </w:t>
      </w:r>
      <w:r w:rsidR="007E4D4E" w:rsidRPr="00403E6A">
        <w:rPr>
          <w:rFonts w:ascii="Times New Roman" w:hAnsi="Times New Roman" w:cs="Times New Roman"/>
          <w:sz w:val="24"/>
          <w:szCs w:val="24"/>
        </w:rPr>
        <w:t xml:space="preserve">against contracting with the insurance plan. </w:t>
      </w:r>
      <w:r w:rsidR="00746A3B" w:rsidRPr="00403E6A">
        <w:rPr>
          <w:rFonts w:ascii="Times New Roman" w:hAnsi="Times New Roman" w:cs="Times New Roman"/>
          <w:sz w:val="24"/>
          <w:szCs w:val="24"/>
        </w:rPr>
        <w:t xml:space="preserve"> </w:t>
      </w:r>
    </w:p>
    <w:p w14:paraId="6FD6B7CD" w14:textId="0137A8BD" w:rsidR="00BE1B54" w:rsidRPr="00403E6A" w:rsidRDefault="00BE1B54" w:rsidP="00BD631E">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r>
      <w:r w:rsidR="00FA412F" w:rsidRPr="00403E6A">
        <w:rPr>
          <w:rFonts w:ascii="Times New Roman" w:hAnsi="Times New Roman" w:cs="Times New Roman"/>
          <w:sz w:val="24"/>
          <w:szCs w:val="24"/>
        </w:rPr>
        <w:t xml:space="preserve">Sanders’ plan, despite its political </w:t>
      </w:r>
      <w:r w:rsidR="00B93152" w:rsidRPr="00403E6A">
        <w:rPr>
          <w:rFonts w:ascii="Times New Roman" w:hAnsi="Times New Roman" w:cs="Times New Roman"/>
          <w:sz w:val="24"/>
          <w:szCs w:val="24"/>
        </w:rPr>
        <w:t xml:space="preserve">potency, is </w:t>
      </w:r>
      <w:r w:rsidR="00475B09" w:rsidRPr="00403E6A">
        <w:rPr>
          <w:rFonts w:ascii="Times New Roman" w:hAnsi="Times New Roman" w:cs="Times New Roman"/>
          <w:sz w:val="24"/>
          <w:szCs w:val="24"/>
        </w:rPr>
        <w:t xml:space="preserve">not </w:t>
      </w:r>
      <w:r w:rsidR="00B93152" w:rsidRPr="00403E6A">
        <w:rPr>
          <w:rFonts w:ascii="Times New Roman" w:hAnsi="Times New Roman" w:cs="Times New Roman"/>
          <w:sz w:val="24"/>
          <w:szCs w:val="24"/>
        </w:rPr>
        <w:t xml:space="preserve">likely </w:t>
      </w:r>
      <w:r w:rsidR="00475B09" w:rsidRPr="00403E6A">
        <w:rPr>
          <w:rFonts w:ascii="Times New Roman" w:hAnsi="Times New Roman" w:cs="Times New Roman"/>
          <w:sz w:val="24"/>
          <w:szCs w:val="24"/>
        </w:rPr>
        <w:t xml:space="preserve">to pass Congress, </w:t>
      </w:r>
      <w:r w:rsidR="00C63B08" w:rsidRPr="00403E6A">
        <w:rPr>
          <w:rFonts w:ascii="Times New Roman" w:hAnsi="Times New Roman" w:cs="Times New Roman"/>
          <w:sz w:val="24"/>
          <w:szCs w:val="24"/>
        </w:rPr>
        <w:t xml:space="preserve">given </w:t>
      </w:r>
      <w:r w:rsidR="0098060C" w:rsidRPr="00403E6A">
        <w:rPr>
          <w:rFonts w:ascii="Times New Roman" w:hAnsi="Times New Roman" w:cs="Times New Roman"/>
          <w:sz w:val="24"/>
          <w:szCs w:val="24"/>
        </w:rPr>
        <w:t xml:space="preserve">its </w:t>
      </w:r>
      <w:r w:rsidR="00C63B08" w:rsidRPr="00403E6A">
        <w:rPr>
          <w:rFonts w:ascii="Times New Roman" w:hAnsi="Times New Roman" w:cs="Times New Roman"/>
          <w:sz w:val="24"/>
          <w:szCs w:val="24"/>
        </w:rPr>
        <w:t xml:space="preserve">sweeping changes </w:t>
      </w:r>
      <w:r w:rsidR="00E119FC" w:rsidRPr="00403E6A">
        <w:rPr>
          <w:rFonts w:ascii="Times New Roman" w:hAnsi="Times New Roman" w:cs="Times New Roman"/>
          <w:sz w:val="24"/>
          <w:szCs w:val="24"/>
        </w:rPr>
        <w:t xml:space="preserve">to an industry that </w:t>
      </w:r>
      <w:r w:rsidR="006F221C" w:rsidRPr="00403E6A">
        <w:rPr>
          <w:rFonts w:ascii="Times New Roman" w:hAnsi="Times New Roman" w:cs="Times New Roman"/>
          <w:sz w:val="24"/>
          <w:szCs w:val="24"/>
        </w:rPr>
        <w:t>employ</w:t>
      </w:r>
      <w:r w:rsidR="00F76404" w:rsidRPr="00403E6A">
        <w:rPr>
          <w:rFonts w:ascii="Times New Roman" w:hAnsi="Times New Roman" w:cs="Times New Roman"/>
          <w:sz w:val="24"/>
          <w:szCs w:val="24"/>
        </w:rPr>
        <w:t xml:space="preserve">ed </w:t>
      </w:r>
      <w:r w:rsidR="00E77C32" w:rsidRPr="00403E6A">
        <w:rPr>
          <w:rFonts w:ascii="Times New Roman" w:hAnsi="Times New Roman" w:cs="Times New Roman"/>
          <w:sz w:val="24"/>
          <w:szCs w:val="24"/>
        </w:rPr>
        <w:t>over 20 million Americans in 2018.</w:t>
      </w:r>
      <w:r w:rsidR="002C37BB">
        <w:rPr>
          <w:rStyle w:val="FootnoteReference"/>
          <w:rFonts w:ascii="Times New Roman" w:hAnsi="Times New Roman" w:cs="Times New Roman"/>
          <w:sz w:val="24"/>
          <w:szCs w:val="24"/>
        </w:rPr>
        <w:footnoteReference w:id="170"/>
      </w:r>
      <w:r w:rsidR="00E77C32" w:rsidRPr="00403E6A">
        <w:rPr>
          <w:rFonts w:ascii="Times New Roman" w:hAnsi="Times New Roman" w:cs="Times New Roman"/>
          <w:sz w:val="24"/>
          <w:szCs w:val="24"/>
        </w:rPr>
        <w:t xml:space="preserve"> </w:t>
      </w:r>
      <w:r w:rsidR="00215AE1" w:rsidRPr="00403E6A">
        <w:rPr>
          <w:rFonts w:ascii="Times New Roman" w:hAnsi="Times New Roman" w:cs="Times New Roman"/>
          <w:sz w:val="24"/>
          <w:szCs w:val="24"/>
        </w:rPr>
        <w:t xml:space="preserve">Regardless of the bill’s likelihood to pass through Congress, </w:t>
      </w:r>
      <w:r w:rsidR="00C97C25" w:rsidRPr="00403E6A">
        <w:rPr>
          <w:rFonts w:ascii="Times New Roman" w:hAnsi="Times New Roman" w:cs="Times New Roman"/>
          <w:sz w:val="24"/>
          <w:szCs w:val="24"/>
        </w:rPr>
        <w:t xml:space="preserve">the </w:t>
      </w:r>
      <w:r w:rsidR="00E52758" w:rsidRPr="00403E6A">
        <w:rPr>
          <w:rFonts w:ascii="Times New Roman" w:hAnsi="Times New Roman" w:cs="Times New Roman"/>
          <w:sz w:val="24"/>
          <w:szCs w:val="24"/>
        </w:rPr>
        <w:t>proposal</w:t>
      </w:r>
      <w:r w:rsidR="00084829" w:rsidRPr="00403E6A">
        <w:rPr>
          <w:rFonts w:ascii="Times New Roman" w:hAnsi="Times New Roman" w:cs="Times New Roman"/>
          <w:sz w:val="24"/>
          <w:szCs w:val="24"/>
        </w:rPr>
        <w:t xml:space="preserve"> is misguided for several reasons. The first</w:t>
      </w:r>
      <w:r w:rsidR="008228EF" w:rsidRPr="00403E6A">
        <w:rPr>
          <w:rFonts w:ascii="Times New Roman" w:hAnsi="Times New Roman" w:cs="Times New Roman"/>
          <w:sz w:val="24"/>
          <w:szCs w:val="24"/>
        </w:rPr>
        <w:t xml:space="preserve"> is th</w:t>
      </w:r>
      <w:r w:rsidR="00355930" w:rsidRPr="00403E6A">
        <w:rPr>
          <w:rFonts w:ascii="Times New Roman" w:hAnsi="Times New Roman" w:cs="Times New Roman"/>
          <w:sz w:val="24"/>
          <w:szCs w:val="24"/>
        </w:rPr>
        <w:t xml:space="preserve">at </w:t>
      </w:r>
      <w:r w:rsidR="00BD096A" w:rsidRPr="00403E6A">
        <w:rPr>
          <w:rFonts w:ascii="Times New Roman" w:hAnsi="Times New Roman" w:cs="Times New Roman"/>
          <w:sz w:val="24"/>
          <w:szCs w:val="24"/>
        </w:rPr>
        <w:t xml:space="preserve">quality could be affected </w:t>
      </w:r>
      <w:r w:rsidR="004272B0" w:rsidRPr="00403E6A">
        <w:rPr>
          <w:rFonts w:ascii="Times New Roman" w:hAnsi="Times New Roman" w:cs="Times New Roman"/>
          <w:sz w:val="24"/>
          <w:szCs w:val="24"/>
        </w:rPr>
        <w:t xml:space="preserve">if the budgeted amount allocated to the provider </w:t>
      </w:r>
      <w:r w:rsidR="00332F01" w:rsidRPr="00403E6A">
        <w:rPr>
          <w:rFonts w:ascii="Times New Roman" w:hAnsi="Times New Roman" w:cs="Times New Roman"/>
          <w:sz w:val="24"/>
          <w:szCs w:val="24"/>
        </w:rPr>
        <w:t xml:space="preserve">proves to </w:t>
      </w:r>
      <w:r w:rsidR="009412C4" w:rsidRPr="00403E6A">
        <w:rPr>
          <w:rFonts w:ascii="Times New Roman" w:hAnsi="Times New Roman" w:cs="Times New Roman"/>
          <w:sz w:val="24"/>
          <w:szCs w:val="24"/>
        </w:rPr>
        <w:t xml:space="preserve">be </w:t>
      </w:r>
      <w:r w:rsidR="004272B0" w:rsidRPr="00403E6A">
        <w:rPr>
          <w:rFonts w:ascii="Times New Roman" w:hAnsi="Times New Roman" w:cs="Times New Roman"/>
          <w:sz w:val="24"/>
          <w:szCs w:val="24"/>
        </w:rPr>
        <w:t xml:space="preserve">insufficient to cover </w:t>
      </w:r>
      <w:r w:rsidR="00332F01" w:rsidRPr="00403E6A">
        <w:rPr>
          <w:rFonts w:ascii="Times New Roman" w:hAnsi="Times New Roman" w:cs="Times New Roman"/>
          <w:sz w:val="24"/>
          <w:szCs w:val="24"/>
        </w:rPr>
        <w:t xml:space="preserve">its total costs. </w:t>
      </w:r>
      <w:r w:rsidR="009412C4" w:rsidRPr="00403E6A">
        <w:rPr>
          <w:rFonts w:ascii="Times New Roman" w:hAnsi="Times New Roman" w:cs="Times New Roman"/>
          <w:sz w:val="24"/>
          <w:szCs w:val="24"/>
        </w:rPr>
        <w:t xml:space="preserve">In case of a budget gap, the provider would be at-risk </w:t>
      </w:r>
      <w:r w:rsidR="002730FA" w:rsidRPr="00403E6A">
        <w:rPr>
          <w:rFonts w:ascii="Times New Roman" w:hAnsi="Times New Roman" w:cs="Times New Roman"/>
          <w:sz w:val="24"/>
          <w:szCs w:val="24"/>
        </w:rPr>
        <w:t xml:space="preserve">for the unpaid expenses, which would likely lead to </w:t>
      </w:r>
      <w:r w:rsidR="00787CB1" w:rsidRPr="00403E6A">
        <w:rPr>
          <w:rFonts w:ascii="Times New Roman" w:hAnsi="Times New Roman" w:cs="Times New Roman"/>
          <w:sz w:val="24"/>
          <w:szCs w:val="24"/>
        </w:rPr>
        <w:t xml:space="preserve">dialed </w:t>
      </w:r>
      <w:r w:rsidR="002730FA" w:rsidRPr="00403E6A">
        <w:rPr>
          <w:rFonts w:ascii="Times New Roman" w:hAnsi="Times New Roman" w:cs="Times New Roman"/>
          <w:sz w:val="24"/>
          <w:szCs w:val="24"/>
        </w:rPr>
        <w:t xml:space="preserve">back services or </w:t>
      </w:r>
      <w:r w:rsidR="00787CB1" w:rsidRPr="00403E6A">
        <w:rPr>
          <w:rFonts w:ascii="Times New Roman" w:hAnsi="Times New Roman" w:cs="Times New Roman"/>
          <w:sz w:val="24"/>
          <w:szCs w:val="24"/>
        </w:rPr>
        <w:t xml:space="preserve">cuts to </w:t>
      </w:r>
      <w:r w:rsidR="002859B4" w:rsidRPr="00403E6A">
        <w:rPr>
          <w:rFonts w:ascii="Times New Roman" w:hAnsi="Times New Roman" w:cs="Times New Roman"/>
          <w:sz w:val="24"/>
          <w:szCs w:val="24"/>
        </w:rPr>
        <w:t xml:space="preserve">necessary overhead. </w:t>
      </w:r>
      <w:r w:rsidR="00FC5922" w:rsidRPr="00403E6A">
        <w:rPr>
          <w:rFonts w:ascii="Times New Roman" w:hAnsi="Times New Roman" w:cs="Times New Roman"/>
          <w:sz w:val="24"/>
          <w:szCs w:val="24"/>
        </w:rPr>
        <w:t xml:space="preserve">These issues have </w:t>
      </w:r>
      <w:r w:rsidR="001757DA" w:rsidRPr="00403E6A">
        <w:rPr>
          <w:rFonts w:ascii="Times New Roman" w:hAnsi="Times New Roman" w:cs="Times New Roman"/>
          <w:sz w:val="24"/>
          <w:szCs w:val="24"/>
        </w:rPr>
        <w:t xml:space="preserve">been realized </w:t>
      </w:r>
      <w:r w:rsidR="00476203" w:rsidRPr="00403E6A">
        <w:rPr>
          <w:rFonts w:ascii="Times New Roman" w:hAnsi="Times New Roman" w:cs="Times New Roman"/>
          <w:sz w:val="24"/>
          <w:szCs w:val="24"/>
        </w:rPr>
        <w:t xml:space="preserve">recently in Britain and has led to </w:t>
      </w:r>
      <w:r w:rsidR="00476203" w:rsidRPr="00403E6A">
        <w:rPr>
          <w:rFonts w:ascii="Times New Roman" w:hAnsi="Times New Roman" w:cs="Times New Roman"/>
          <w:sz w:val="24"/>
          <w:szCs w:val="24"/>
        </w:rPr>
        <w:lastRenderedPageBreak/>
        <w:t xml:space="preserve">increased wait times for certain </w:t>
      </w:r>
      <w:r w:rsidR="00DE5AF9" w:rsidRPr="00403E6A">
        <w:rPr>
          <w:rFonts w:ascii="Times New Roman" w:hAnsi="Times New Roman" w:cs="Times New Roman"/>
          <w:sz w:val="24"/>
          <w:szCs w:val="24"/>
        </w:rPr>
        <w:t>medical services.</w:t>
      </w:r>
      <w:r w:rsidR="00064074">
        <w:rPr>
          <w:rStyle w:val="FootnoteReference"/>
          <w:rFonts w:ascii="Times New Roman" w:hAnsi="Times New Roman" w:cs="Times New Roman"/>
          <w:sz w:val="24"/>
          <w:szCs w:val="24"/>
        </w:rPr>
        <w:footnoteReference w:id="171"/>
      </w:r>
      <w:r w:rsidR="00DE5AF9" w:rsidRPr="00403E6A">
        <w:rPr>
          <w:rFonts w:ascii="Times New Roman" w:hAnsi="Times New Roman" w:cs="Times New Roman"/>
          <w:sz w:val="24"/>
          <w:szCs w:val="24"/>
        </w:rPr>
        <w:t xml:space="preserve"> </w:t>
      </w:r>
      <w:r w:rsidR="0088135E" w:rsidRPr="00403E6A">
        <w:rPr>
          <w:rFonts w:ascii="Times New Roman" w:hAnsi="Times New Roman" w:cs="Times New Roman"/>
          <w:sz w:val="24"/>
          <w:szCs w:val="24"/>
        </w:rPr>
        <w:t>Rebuttals to th</w:t>
      </w:r>
      <w:r w:rsidR="000A46E0" w:rsidRPr="00403E6A">
        <w:rPr>
          <w:rFonts w:ascii="Times New Roman" w:hAnsi="Times New Roman" w:cs="Times New Roman"/>
          <w:sz w:val="24"/>
          <w:szCs w:val="24"/>
        </w:rPr>
        <w:t>e</w:t>
      </w:r>
      <w:r w:rsidR="0088135E" w:rsidRPr="00403E6A">
        <w:rPr>
          <w:rFonts w:ascii="Times New Roman" w:hAnsi="Times New Roman" w:cs="Times New Roman"/>
          <w:sz w:val="24"/>
          <w:szCs w:val="24"/>
        </w:rPr>
        <w:t>s</w:t>
      </w:r>
      <w:r w:rsidR="000A46E0" w:rsidRPr="00403E6A">
        <w:rPr>
          <w:rFonts w:ascii="Times New Roman" w:hAnsi="Times New Roman" w:cs="Times New Roman"/>
          <w:sz w:val="24"/>
          <w:szCs w:val="24"/>
        </w:rPr>
        <w:t>e</w:t>
      </w:r>
      <w:r w:rsidR="0088135E" w:rsidRPr="00403E6A">
        <w:rPr>
          <w:rFonts w:ascii="Times New Roman" w:hAnsi="Times New Roman" w:cs="Times New Roman"/>
          <w:sz w:val="24"/>
          <w:szCs w:val="24"/>
        </w:rPr>
        <w:t xml:space="preserve"> concern</w:t>
      </w:r>
      <w:r w:rsidR="000A46E0" w:rsidRPr="00403E6A">
        <w:rPr>
          <w:rFonts w:ascii="Times New Roman" w:hAnsi="Times New Roman" w:cs="Times New Roman"/>
          <w:sz w:val="24"/>
          <w:szCs w:val="24"/>
        </w:rPr>
        <w:t>s</w:t>
      </w:r>
      <w:r w:rsidR="0088135E" w:rsidRPr="00403E6A">
        <w:rPr>
          <w:rFonts w:ascii="Times New Roman" w:hAnsi="Times New Roman" w:cs="Times New Roman"/>
          <w:sz w:val="24"/>
          <w:szCs w:val="24"/>
        </w:rPr>
        <w:t xml:space="preserve"> </w:t>
      </w:r>
      <w:r w:rsidR="008A4314">
        <w:rPr>
          <w:rFonts w:ascii="Times New Roman" w:hAnsi="Times New Roman" w:cs="Times New Roman"/>
          <w:sz w:val="24"/>
          <w:szCs w:val="24"/>
        </w:rPr>
        <w:t xml:space="preserve">will likely </w:t>
      </w:r>
      <w:r w:rsidR="00AA4F45">
        <w:rPr>
          <w:rFonts w:ascii="Times New Roman" w:hAnsi="Times New Roman" w:cs="Times New Roman"/>
          <w:sz w:val="24"/>
          <w:szCs w:val="24"/>
        </w:rPr>
        <w:t xml:space="preserve">mention </w:t>
      </w:r>
      <w:r w:rsidR="0088135E" w:rsidRPr="00403E6A">
        <w:rPr>
          <w:rFonts w:ascii="Times New Roman" w:hAnsi="Times New Roman" w:cs="Times New Roman"/>
          <w:sz w:val="24"/>
          <w:szCs w:val="24"/>
        </w:rPr>
        <w:t xml:space="preserve">savings in administrative overhead, such as medical billing, </w:t>
      </w:r>
      <w:r w:rsidR="00154752" w:rsidRPr="00403E6A">
        <w:rPr>
          <w:rFonts w:ascii="Times New Roman" w:hAnsi="Times New Roman" w:cs="Times New Roman"/>
          <w:sz w:val="24"/>
          <w:szCs w:val="24"/>
        </w:rPr>
        <w:t>as potential</w:t>
      </w:r>
      <w:r w:rsidR="00A17AE0" w:rsidRPr="00403E6A">
        <w:rPr>
          <w:rFonts w:ascii="Times New Roman" w:hAnsi="Times New Roman" w:cs="Times New Roman"/>
          <w:sz w:val="24"/>
          <w:szCs w:val="24"/>
        </w:rPr>
        <w:t xml:space="preserve"> supplement</w:t>
      </w:r>
      <w:r w:rsidR="00154752" w:rsidRPr="00403E6A">
        <w:rPr>
          <w:rFonts w:ascii="Times New Roman" w:hAnsi="Times New Roman" w:cs="Times New Roman"/>
          <w:sz w:val="24"/>
          <w:szCs w:val="24"/>
        </w:rPr>
        <w:t>al resources that</w:t>
      </w:r>
      <w:r w:rsidR="00A17AE0" w:rsidRPr="00403E6A">
        <w:rPr>
          <w:rFonts w:ascii="Times New Roman" w:hAnsi="Times New Roman" w:cs="Times New Roman"/>
          <w:sz w:val="24"/>
          <w:szCs w:val="24"/>
        </w:rPr>
        <w:t xml:space="preserve"> </w:t>
      </w:r>
      <w:r w:rsidR="00667104" w:rsidRPr="00403E6A">
        <w:rPr>
          <w:rFonts w:ascii="Times New Roman" w:hAnsi="Times New Roman" w:cs="Times New Roman"/>
          <w:sz w:val="24"/>
          <w:szCs w:val="24"/>
        </w:rPr>
        <w:t>providers</w:t>
      </w:r>
      <w:r w:rsidR="00A17AE0" w:rsidRPr="00403E6A">
        <w:rPr>
          <w:rFonts w:ascii="Times New Roman" w:hAnsi="Times New Roman" w:cs="Times New Roman"/>
          <w:sz w:val="24"/>
          <w:szCs w:val="24"/>
        </w:rPr>
        <w:t xml:space="preserve"> </w:t>
      </w:r>
      <w:r w:rsidR="00C84112" w:rsidRPr="00403E6A">
        <w:rPr>
          <w:rFonts w:ascii="Times New Roman" w:hAnsi="Times New Roman" w:cs="Times New Roman"/>
          <w:sz w:val="24"/>
          <w:szCs w:val="24"/>
        </w:rPr>
        <w:t xml:space="preserve">could rely on to </w:t>
      </w:r>
      <w:r w:rsidR="003A4E96" w:rsidRPr="00403E6A">
        <w:rPr>
          <w:rFonts w:ascii="Times New Roman" w:hAnsi="Times New Roman" w:cs="Times New Roman"/>
          <w:sz w:val="24"/>
          <w:szCs w:val="24"/>
        </w:rPr>
        <w:t xml:space="preserve">strengthen their bottom lines. </w:t>
      </w:r>
      <w:r w:rsidR="007D2B8D" w:rsidRPr="00403E6A">
        <w:rPr>
          <w:rFonts w:ascii="Times New Roman" w:hAnsi="Times New Roman" w:cs="Times New Roman"/>
          <w:sz w:val="24"/>
          <w:szCs w:val="24"/>
        </w:rPr>
        <w:t xml:space="preserve">However, there is no guarantee that those resources will be </w:t>
      </w:r>
      <w:r w:rsidR="00DF3224" w:rsidRPr="00403E6A">
        <w:rPr>
          <w:rFonts w:ascii="Times New Roman" w:hAnsi="Times New Roman" w:cs="Times New Roman"/>
          <w:sz w:val="24"/>
          <w:szCs w:val="24"/>
        </w:rPr>
        <w:t xml:space="preserve">enough to </w:t>
      </w:r>
      <w:r w:rsidR="005E5192" w:rsidRPr="00403E6A">
        <w:rPr>
          <w:rFonts w:ascii="Times New Roman" w:hAnsi="Times New Roman" w:cs="Times New Roman"/>
          <w:sz w:val="24"/>
          <w:szCs w:val="24"/>
        </w:rPr>
        <w:t xml:space="preserve">cover a provider’s given costs. </w:t>
      </w:r>
      <w:r w:rsidR="00770B05" w:rsidRPr="00403E6A">
        <w:rPr>
          <w:rFonts w:ascii="Times New Roman" w:hAnsi="Times New Roman" w:cs="Times New Roman"/>
          <w:sz w:val="24"/>
          <w:szCs w:val="24"/>
        </w:rPr>
        <w:t>Moreover, the</w:t>
      </w:r>
      <w:r w:rsidR="003168F5" w:rsidRPr="00403E6A">
        <w:rPr>
          <w:rFonts w:ascii="Times New Roman" w:hAnsi="Times New Roman" w:cs="Times New Roman"/>
          <w:sz w:val="24"/>
          <w:szCs w:val="24"/>
        </w:rPr>
        <w:t xml:space="preserve"> </w:t>
      </w:r>
      <w:r w:rsidR="008F045B" w:rsidRPr="00403E6A">
        <w:rPr>
          <w:rFonts w:ascii="Times New Roman" w:hAnsi="Times New Roman" w:cs="Times New Roman"/>
          <w:sz w:val="24"/>
          <w:szCs w:val="24"/>
        </w:rPr>
        <w:t xml:space="preserve">cost </w:t>
      </w:r>
      <w:r w:rsidR="00CF4196" w:rsidRPr="00403E6A">
        <w:rPr>
          <w:rFonts w:ascii="Times New Roman" w:hAnsi="Times New Roman" w:cs="Times New Roman"/>
          <w:sz w:val="24"/>
          <w:szCs w:val="24"/>
        </w:rPr>
        <w:t xml:space="preserve">of taxation needed to establish </w:t>
      </w:r>
      <w:r w:rsidR="008F045B" w:rsidRPr="00403E6A">
        <w:rPr>
          <w:rFonts w:ascii="Times New Roman" w:hAnsi="Times New Roman" w:cs="Times New Roman"/>
          <w:sz w:val="24"/>
          <w:szCs w:val="24"/>
        </w:rPr>
        <w:t xml:space="preserve">the requisite bureaucracy </w:t>
      </w:r>
      <w:r w:rsidR="000B209F">
        <w:rPr>
          <w:rFonts w:ascii="Times New Roman" w:hAnsi="Times New Roman" w:cs="Times New Roman"/>
          <w:sz w:val="24"/>
          <w:szCs w:val="24"/>
        </w:rPr>
        <w:t xml:space="preserve">could </w:t>
      </w:r>
      <w:r w:rsidR="00CF4196" w:rsidRPr="00403E6A">
        <w:rPr>
          <w:rFonts w:ascii="Times New Roman" w:hAnsi="Times New Roman" w:cs="Times New Roman"/>
          <w:sz w:val="24"/>
          <w:szCs w:val="24"/>
        </w:rPr>
        <w:t xml:space="preserve">negate the </w:t>
      </w:r>
      <w:r w:rsidR="000628D7" w:rsidRPr="00403E6A">
        <w:rPr>
          <w:rFonts w:ascii="Times New Roman" w:hAnsi="Times New Roman" w:cs="Times New Roman"/>
          <w:sz w:val="24"/>
          <w:szCs w:val="24"/>
        </w:rPr>
        <w:t xml:space="preserve">expenses beneficiaries save </w:t>
      </w:r>
      <w:r w:rsidR="00667E23" w:rsidRPr="00403E6A">
        <w:rPr>
          <w:rFonts w:ascii="Times New Roman" w:hAnsi="Times New Roman" w:cs="Times New Roman"/>
          <w:sz w:val="24"/>
          <w:szCs w:val="24"/>
        </w:rPr>
        <w:t>in administrative overhead</w:t>
      </w:r>
      <w:r w:rsidR="00E24037" w:rsidRPr="00403E6A">
        <w:rPr>
          <w:rFonts w:ascii="Times New Roman" w:hAnsi="Times New Roman" w:cs="Times New Roman"/>
          <w:sz w:val="24"/>
          <w:szCs w:val="24"/>
        </w:rPr>
        <w:t>.</w:t>
      </w:r>
      <w:r w:rsidR="00F117C3" w:rsidRPr="00403E6A">
        <w:rPr>
          <w:rFonts w:ascii="Times New Roman" w:hAnsi="Times New Roman" w:cs="Times New Roman"/>
          <w:sz w:val="24"/>
          <w:szCs w:val="24"/>
        </w:rPr>
        <w:t xml:space="preserve"> </w:t>
      </w:r>
      <w:r w:rsidR="005E5192" w:rsidRPr="00403E6A">
        <w:rPr>
          <w:rFonts w:ascii="Times New Roman" w:hAnsi="Times New Roman" w:cs="Times New Roman"/>
          <w:sz w:val="24"/>
          <w:szCs w:val="24"/>
        </w:rPr>
        <w:t xml:space="preserve">This is the </w:t>
      </w:r>
      <w:r w:rsidR="00A117F6" w:rsidRPr="00403E6A">
        <w:rPr>
          <w:rFonts w:ascii="Times New Roman" w:hAnsi="Times New Roman" w:cs="Times New Roman"/>
          <w:sz w:val="24"/>
          <w:szCs w:val="24"/>
        </w:rPr>
        <w:t xml:space="preserve">risk that comes with </w:t>
      </w:r>
      <w:r w:rsidR="00F2324F" w:rsidRPr="00403E6A">
        <w:rPr>
          <w:rFonts w:ascii="Times New Roman" w:hAnsi="Times New Roman" w:cs="Times New Roman"/>
          <w:sz w:val="24"/>
          <w:szCs w:val="24"/>
        </w:rPr>
        <w:t xml:space="preserve">completely </w:t>
      </w:r>
      <w:r w:rsidR="00ED4CEE" w:rsidRPr="00403E6A">
        <w:rPr>
          <w:rFonts w:ascii="Times New Roman" w:hAnsi="Times New Roman" w:cs="Times New Roman"/>
          <w:sz w:val="24"/>
          <w:szCs w:val="24"/>
        </w:rPr>
        <w:t xml:space="preserve">disassociating the provider </w:t>
      </w:r>
      <w:r w:rsidR="00A32B76" w:rsidRPr="00403E6A">
        <w:rPr>
          <w:rFonts w:ascii="Times New Roman" w:hAnsi="Times New Roman" w:cs="Times New Roman"/>
          <w:sz w:val="24"/>
          <w:szCs w:val="24"/>
        </w:rPr>
        <w:t xml:space="preserve">from </w:t>
      </w:r>
      <w:r w:rsidR="008B6B48" w:rsidRPr="00403E6A">
        <w:rPr>
          <w:rFonts w:ascii="Times New Roman" w:hAnsi="Times New Roman" w:cs="Times New Roman"/>
          <w:sz w:val="24"/>
          <w:szCs w:val="24"/>
        </w:rPr>
        <w:t xml:space="preserve">deciding the price of services. </w:t>
      </w:r>
    </w:p>
    <w:p w14:paraId="6E7643DB" w14:textId="4F5107D7" w:rsidR="00143CFF" w:rsidRPr="00AC5924" w:rsidRDefault="00143CFF" w:rsidP="00BD631E">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r>
      <w:r w:rsidR="006B5E3E" w:rsidRPr="00403E6A">
        <w:rPr>
          <w:rFonts w:ascii="Times New Roman" w:hAnsi="Times New Roman" w:cs="Times New Roman"/>
          <w:sz w:val="24"/>
          <w:szCs w:val="24"/>
        </w:rPr>
        <w:t xml:space="preserve">Additionally, the bill will inevitably increase </w:t>
      </w:r>
      <w:r w:rsidR="00C14516" w:rsidRPr="00403E6A">
        <w:rPr>
          <w:rFonts w:ascii="Times New Roman" w:hAnsi="Times New Roman" w:cs="Times New Roman"/>
          <w:sz w:val="24"/>
          <w:szCs w:val="24"/>
        </w:rPr>
        <w:t>service demand</w:t>
      </w:r>
      <w:r w:rsidR="007F6776" w:rsidRPr="00403E6A">
        <w:rPr>
          <w:rFonts w:ascii="Times New Roman" w:hAnsi="Times New Roman" w:cs="Times New Roman"/>
          <w:sz w:val="24"/>
          <w:szCs w:val="24"/>
        </w:rPr>
        <w:t xml:space="preserve"> at a time when those who provide the service are </w:t>
      </w:r>
      <w:r w:rsidR="006C3287" w:rsidRPr="00403E6A">
        <w:rPr>
          <w:rFonts w:ascii="Times New Roman" w:hAnsi="Times New Roman" w:cs="Times New Roman"/>
          <w:sz w:val="24"/>
          <w:szCs w:val="24"/>
        </w:rPr>
        <w:t xml:space="preserve">already </w:t>
      </w:r>
      <w:r w:rsidR="007F6776" w:rsidRPr="00403E6A">
        <w:rPr>
          <w:rFonts w:ascii="Times New Roman" w:hAnsi="Times New Roman" w:cs="Times New Roman"/>
          <w:sz w:val="24"/>
          <w:szCs w:val="24"/>
        </w:rPr>
        <w:t xml:space="preserve">being </w:t>
      </w:r>
      <w:r w:rsidR="006C3287" w:rsidRPr="00403E6A">
        <w:rPr>
          <w:rFonts w:ascii="Times New Roman" w:hAnsi="Times New Roman" w:cs="Times New Roman"/>
          <w:sz w:val="24"/>
          <w:szCs w:val="24"/>
        </w:rPr>
        <w:t>underpaid</w:t>
      </w:r>
      <w:r w:rsidR="001C60C0" w:rsidRPr="00403E6A">
        <w:rPr>
          <w:rFonts w:ascii="Times New Roman" w:hAnsi="Times New Roman" w:cs="Times New Roman"/>
          <w:sz w:val="24"/>
          <w:szCs w:val="24"/>
        </w:rPr>
        <w:t xml:space="preserve">. </w:t>
      </w:r>
      <w:r w:rsidR="00B07ED5" w:rsidRPr="00403E6A">
        <w:rPr>
          <w:rFonts w:ascii="Times New Roman" w:hAnsi="Times New Roman" w:cs="Times New Roman"/>
          <w:sz w:val="24"/>
          <w:szCs w:val="24"/>
        </w:rPr>
        <w:t>According to a</w:t>
      </w:r>
      <w:r w:rsidR="00AD0535" w:rsidRPr="00403E6A">
        <w:rPr>
          <w:rFonts w:ascii="Times New Roman" w:hAnsi="Times New Roman" w:cs="Times New Roman"/>
          <w:sz w:val="24"/>
          <w:szCs w:val="24"/>
        </w:rPr>
        <w:t xml:space="preserve"> 20</w:t>
      </w:r>
      <w:r w:rsidR="007458BE" w:rsidRPr="00403E6A">
        <w:rPr>
          <w:rFonts w:ascii="Times New Roman" w:hAnsi="Times New Roman" w:cs="Times New Roman"/>
          <w:sz w:val="24"/>
          <w:szCs w:val="24"/>
        </w:rPr>
        <w:t>21</w:t>
      </w:r>
      <w:r w:rsidR="00B07ED5" w:rsidRPr="00403E6A">
        <w:rPr>
          <w:rFonts w:ascii="Times New Roman" w:hAnsi="Times New Roman" w:cs="Times New Roman"/>
          <w:sz w:val="24"/>
          <w:szCs w:val="24"/>
        </w:rPr>
        <w:t xml:space="preserve"> American Hospital Association (AHA) report, </w:t>
      </w:r>
      <w:r w:rsidR="007458BE" w:rsidRPr="00403E6A">
        <w:rPr>
          <w:rFonts w:ascii="Times New Roman" w:hAnsi="Times New Roman" w:cs="Times New Roman"/>
          <w:sz w:val="24"/>
          <w:szCs w:val="24"/>
        </w:rPr>
        <w:t xml:space="preserve">in 2019, </w:t>
      </w:r>
      <w:r w:rsidR="006C3287" w:rsidRPr="00403E6A">
        <w:rPr>
          <w:rFonts w:ascii="Times New Roman" w:hAnsi="Times New Roman" w:cs="Times New Roman"/>
          <w:sz w:val="24"/>
          <w:szCs w:val="24"/>
        </w:rPr>
        <w:t>hospitals</w:t>
      </w:r>
      <w:r w:rsidR="00E675C8" w:rsidRPr="00403E6A">
        <w:rPr>
          <w:rFonts w:ascii="Times New Roman" w:hAnsi="Times New Roman" w:cs="Times New Roman"/>
          <w:sz w:val="24"/>
          <w:szCs w:val="24"/>
        </w:rPr>
        <w:t xml:space="preserve"> </w:t>
      </w:r>
      <w:r w:rsidR="00A66036" w:rsidRPr="00403E6A">
        <w:rPr>
          <w:rFonts w:ascii="Times New Roman" w:hAnsi="Times New Roman" w:cs="Times New Roman"/>
          <w:sz w:val="24"/>
          <w:szCs w:val="24"/>
        </w:rPr>
        <w:t>incurred</w:t>
      </w:r>
      <w:r w:rsidR="00E675C8" w:rsidRPr="00403E6A">
        <w:rPr>
          <w:rFonts w:ascii="Times New Roman" w:hAnsi="Times New Roman" w:cs="Times New Roman"/>
          <w:sz w:val="24"/>
          <w:szCs w:val="24"/>
        </w:rPr>
        <w:t xml:space="preserve"> $56.8 billion </w:t>
      </w:r>
      <w:r w:rsidR="00A66036" w:rsidRPr="00403E6A">
        <w:rPr>
          <w:rFonts w:ascii="Times New Roman" w:hAnsi="Times New Roman" w:cs="Times New Roman"/>
          <w:sz w:val="24"/>
          <w:szCs w:val="24"/>
        </w:rPr>
        <w:t xml:space="preserve">in </w:t>
      </w:r>
      <w:r w:rsidR="00DD0FB1" w:rsidRPr="00403E6A">
        <w:rPr>
          <w:rFonts w:ascii="Times New Roman" w:hAnsi="Times New Roman" w:cs="Times New Roman"/>
          <w:sz w:val="24"/>
          <w:szCs w:val="24"/>
        </w:rPr>
        <w:t xml:space="preserve">underpaid costs for delivering care to </w:t>
      </w:r>
      <w:r w:rsidR="006C3287" w:rsidRPr="00403E6A">
        <w:rPr>
          <w:rFonts w:ascii="Times New Roman" w:hAnsi="Times New Roman" w:cs="Times New Roman"/>
          <w:sz w:val="24"/>
          <w:szCs w:val="24"/>
        </w:rPr>
        <w:t xml:space="preserve">Medicare </w:t>
      </w:r>
      <w:r w:rsidR="00DD0FB1" w:rsidRPr="00403E6A">
        <w:rPr>
          <w:rFonts w:ascii="Times New Roman" w:hAnsi="Times New Roman" w:cs="Times New Roman"/>
          <w:sz w:val="24"/>
          <w:szCs w:val="24"/>
        </w:rPr>
        <w:t>patients.</w:t>
      </w:r>
      <w:r w:rsidR="00F94E7A">
        <w:rPr>
          <w:rStyle w:val="FootnoteReference"/>
          <w:rFonts w:ascii="Times New Roman" w:hAnsi="Times New Roman" w:cs="Times New Roman"/>
          <w:sz w:val="24"/>
          <w:szCs w:val="24"/>
        </w:rPr>
        <w:footnoteReference w:id="172"/>
      </w:r>
      <w:r w:rsidR="00E675C8" w:rsidRPr="00403E6A">
        <w:rPr>
          <w:rFonts w:ascii="Times New Roman" w:hAnsi="Times New Roman" w:cs="Times New Roman"/>
          <w:sz w:val="24"/>
          <w:szCs w:val="24"/>
        </w:rPr>
        <w:t xml:space="preserve"> </w:t>
      </w:r>
      <w:r w:rsidR="00942D8B" w:rsidRPr="00AC5924">
        <w:rPr>
          <w:rFonts w:ascii="Times New Roman" w:hAnsi="Times New Roman" w:cs="Times New Roman"/>
          <w:sz w:val="24"/>
          <w:szCs w:val="24"/>
        </w:rPr>
        <w:t>Moreover, de</w:t>
      </w:r>
      <w:r w:rsidR="004A75AE" w:rsidRPr="00AC5924">
        <w:rPr>
          <w:rFonts w:ascii="Times New Roman" w:hAnsi="Times New Roman" w:cs="Times New Roman"/>
          <w:sz w:val="24"/>
          <w:szCs w:val="24"/>
        </w:rPr>
        <w:t>spite Medicare’s</w:t>
      </w:r>
      <w:r w:rsidR="00D764E9" w:rsidRPr="00AC5924">
        <w:rPr>
          <w:rFonts w:ascii="Times New Roman" w:hAnsi="Times New Roman" w:cs="Times New Roman"/>
          <w:sz w:val="24"/>
          <w:szCs w:val="24"/>
        </w:rPr>
        <w:t xml:space="preserve"> ability to control prices </w:t>
      </w:r>
      <w:r w:rsidR="00A6101E" w:rsidRPr="00AC5924">
        <w:rPr>
          <w:rFonts w:ascii="Times New Roman" w:hAnsi="Times New Roman" w:cs="Times New Roman"/>
          <w:sz w:val="24"/>
          <w:szCs w:val="24"/>
        </w:rPr>
        <w:t xml:space="preserve">through government </w:t>
      </w:r>
      <w:r w:rsidR="00A121DC" w:rsidRPr="00AC5924">
        <w:rPr>
          <w:rFonts w:ascii="Times New Roman" w:hAnsi="Times New Roman" w:cs="Times New Roman"/>
          <w:sz w:val="24"/>
          <w:szCs w:val="24"/>
        </w:rPr>
        <w:t xml:space="preserve">buying and regulatory power, the program has been less successful at controlling the </w:t>
      </w:r>
      <w:r w:rsidR="00064087" w:rsidRPr="00AC5924">
        <w:rPr>
          <w:rFonts w:ascii="Times New Roman" w:hAnsi="Times New Roman" w:cs="Times New Roman"/>
          <w:sz w:val="24"/>
          <w:szCs w:val="24"/>
        </w:rPr>
        <w:t>volume of services it covers</w:t>
      </w:r>
      <w:r w:rsidR="009C1BB6" w:rsidRPr="00AC5924">
        <w:rPr>
          <w:rFonts w:ascii="Times New Roman" w:hAnsi="Times New Roman" w:cs="Times New Roman"/>
          <w:sz w:val="24"/>
          <w:szCs w:val="24"/>
        </w:rPr>
        <w:t>.</w:t>
      </w:r>
      <w:r w:rsidR="001A4F55" w:rsidRPr="00AC5924">
        <w:rPr>
          <w:rStyle w:val="FootnoteReference"/>
          <w:rFonts w:ascii="Times New Roman" w:hAnsi="Times New Roman" w:cs="Times New Roman"/>
          <w:sz w:val="24"/>
          <w:szCs w:val="24"/>
        </w:rPr>
        <w:footnoteReference w:id="173"/>
      </w:r>
      <w:r w:rsidR="009C1BB6" w:rsidRPr="00AC5924">
        <w:rPr>
          <w:rFonts w:ascii="Times New Roman" w:hAnsi="Times New Roman" w:cs="Times New Roman"/>
          <w:sz w:val="24"/>
          <w:szCs w:val="24"/>
        </w:rPr>
        <w:t xml:space="preserve"> This issue will only persist under Sanders’ plan, which</w:t>
      </w:r>
      <w:r w:rsidR="001141A6" w:rsidRPr="00AC5924">
        <w:rPr>
          <w:rFonts w:ascii="Times New Roman" w:hAnsi="Times New Roman" w:cs="Times New Roman"/>
          <w:sz w:val="24"/>
          <w:szCs w:val="24"/>
        </w:rPr>
        <w:t xml:space="preserve">, </w:t>
      </w:r>
      <w:r w:rsidR="009C1BB6" w:rsidRPr="00AC5924">
        <w:rPr>
          <w:rFonts w:ascii="Times New Roman" w:hAnsi="Times New Roman" w:cs="Times New Roman"/>
          <w:sz w:val="24"/>
          <w:szCs w:val="24"/>
        </w:rPr>
        <w:t xml:space="preserve">entails no </w:t>
      </w:r>
      <w:r w:rsidR="000E1155" w:rsidRPr="00AC5924">
        <w:rPr>
          <w:rFonts w:ascii="Times New Roman" w:hAnsi="Times New Roman" w:cs="Times New Roman"/>
          <w:sz w:val="24"/>
          <w:szCs w:val="24"/>
        </w:rPr>
        <w:t>cost-sharing</w:t>
      </w:r>
      <w:r w:rsidR="009C1BB6" w:rsidRPr="00AC5924">
        <w:rPr>
          <w:rFonts w:ascii="Times New Roman" w:hAnsi="Times New Roman" w:cs="Times New Roman"/>
          <w:sz w:val="24"/>
          <w:szCs w:val="24"/>
        </w:rPr>
        <w:t xml:space="preserve"> mechanisms</w:t>
      </w:r>
      <w:r w:rsidR="00CE3413" w:rsidRPr="00AC5924">
        <w:rPr>
          <w:rFonts w:ascii="Times New Roman" w:hAnsi="Times New Roman" w:cs="Times New Roman"/>
          <w:sz w:val="24"/>
          <w:szCs w:val="24"/>
        </w:rPr>
        <w:t xml:space="preserve"> such as deductibles or co-payments</w:t>
      </w:r>
      <w:r w:rsidR="001141A6" w:rsidRPr="00AC5924">
        <w:rPr>
          <w:rStyle w:val="FootnoteReference"/>
          <w:rFonts w:ascii="Times New Roman" w:hAnsi="Times New Roman" w:cs="Times New Roman"/>
          <w:sz w:val="24"/>
          <w:szCs w:val="24"/>
        </w:rPr>
        <w:footnoteReference w:id="174"/>
      </w:r>
      <w:r w:rsidR="00CD224E" w:rsidRPr="00AC5924">
        <w:rPr>
          <w:rFonts w:ascii="Times New Roman" w:hAnsi="Times New Roman" w:cs="Times New Roman"/>
          <w:sz w:val="24"/>
          <w:szCs w:val="24"/>
        </w:rPr>
        <w:t xml:space="preserve"> but offers an incredibly generous be</w:t>
      </w:r>
      <w:r w:rsidR="006A684D" w:rsidRPr="00AC5924">
        <w:rPr>
          <w:rFonts w:ascii="Times New Roman" w:hAnsi="Times New Roman" w:cs="Times New Roman"/>
          <w:sz w:val="24"/>
          <w:szCs w:val="24"/>
        </w:rPr>
        <w:t>nefit package</w:t>
      </w:r>
      <w:r w:rsidR="002A057C" w:rsidRPr="00AC5924">
        <w:rPr>
          <w:rFonts w:ascii="Times New Roman" w:hAnsi="Times New Roman" w:cs="Times New Roman"/>
          <w:sz w:val="24"/>
          <w:szCs w:val="24"/>
        </w:rPr>
        <w:t xml:space="preserve"> to every American</w:t>
      </w:r>
      <w:r w:rsidR="007D10EC">
        <w:rPr>
          <w:rFonts w:ascii="Times New Roman" w:hAnsi="Times New Roman" w:cs="Times New Roman"/>
          <w:sz w:val="24"/>
          <w:szCs w:val="24"/>
        </w:rPr>
        <w:t>.</w:t>
      </w:r>
      <w:r w:rsidR="00D35A17" w:rsidRPr="00AC5924">
        <w:rPr>
          <w:rStyle w:val="FootnoteReference"/>
          <w:rFonts w:ascii="Times New Roman" w:hAnsi="Times New Roman" w:cs="Times New Roman"/>
          <w:sz w:val="24"/>
          <w:szCs w:val="24"/>
        </w:rPr>
        <w:footnoteReference w:id="175"/>
      </w:r>
      <w:r w:rsidR="00CE3413" w:rsidRPr="00AC5924">
        <w:rPr>
          <w:rFonts w:ascii="Times New Roman" w:hAnsi="Times New Roman" w:cs="Times New Roman"/>
          <w:sz w:val="24"/>
          <w:szCs w:val="24"/>
        </w:rPr>
        <w:t xml:space="preserve"> </w:t>
      </w:r>
      <w:r w:rsidR="00C032C0" w:rsidRPr="00AC5924">
        <w:rPr>
          <w:rFonts w:ascii="Times New Roman" w:hAnsi="Times New Roman" w:cs="Times New Roman"/>
          <w:sz w:val="24"/>
          <w:szCs w:val="24"/>
        </w:rPr>
        <w:t xml:space="preserve">These </w:t>
      </w:r>
      <w:r w:rsidR="003D617D" w:rsidRPr="00AC5924">
        <w:rPr>
          <w:rFonts w:ascii="Times New Roman" w:hAnsi="Times New Roman" w:cs="Times New Roman"/>
          <w:sz w:val="24"/>
          <w:szCs w:val="24"/>
        </w:rPr>
        <w:t xml:space="preserve">demand side </w:t>
      </w:r>
      <w:r w:rsidR="00C032C0" w:rsidRPr="00AC5924">
        <w:rPr>
          <w:rFonts w:ascii="Times New Roman" w:hAnsi="Times New Roman" w:cs="Times New Roman"/>
          <w:sz w:val="24"/>
          <w:szCs w:val="24"/>
        </w:rPr>
        <w:t xml:space="preserve">mechanisms require patients to have skin-in-the-game and </w:t>
      </w:r>
      <w:r w:rsidR="00D04697" w:rsidRPr="00AC5924">
        <w:rPr>
          <w:rFonts w:ascii="Times New Roman" w:hAnsi="Times New Roman" w:cs="Times New Roman"/>
          <w:sz w:val="24"/>
          <w:szCs w:val="24"/>
        </w:rPr>
        <w:t xml:space="preserve">can </w:t>
      </w:r>
      <w:r w:rsidR="00C032C0" w:rsidRPr="00AC5924">
        <w:rPr>
          <w:rFonts w:ascii="Times New Roman" w:hAnsi="Times New Roman" w:cs="Times New Roman"/>
          <w:sz w:val="24"/>
          <w:szCs w:val="24"/>
        </w:rPr>
        <w:t>provide a check on overutilization</w:t>
      </w:r>
      <w:r w:rsidR="006568A0" w:rsidRPr="00AC5924">
        <w:rPr>
          <w:rFonts w:ascii="Times New Roman" w:hAnsi="Times New Roman" w:cs="Times New Roman"/>
          <w:sz w:val="24"/>
          <w:szCs w:val="24"/>
        </w:rPr>
        <w:t xml:space="preserve"> of services</w:t>
      </w:r>
      <w:r w:rsidR="00D71828" w:rsidRPr="00AC5924">
        <w:rPr>
          <w:rFonts w:ascii="Times New Roman" w:hAnsi="Times New Roman" w:cs="Times New Roman"/>
          <w:sz w:val="24"/>
          <w:szCs w:val="24"/>
        </w:rPr>
        <w:t xml:space="preserve"> that patients </w:t>
      </w:r>
      <w:r w:rsidR="007204C8" w:rsidRPr="00AC5924">
        <w:rPr>
          <w:rFonts w:ascii="Times New Roman" w:hAnsi="Times New Roman" w:cs="Times New Roman"/>
          <w:sz w:val="24"/>
          <w:szCs w:val="24"/>
        </w:rPr>
        <w:t>request, and doctors recommend</w:t>
      </w:r>
      <w:r w:rsidR="006568A0" w:rsidRPr="00AC5924">
        <w:rPr>
          <w:rFonts w:ascii="Times New Roman" w:hAnsi="Times New Roman" w:cs="Times New Roman"/>
          <w:sz w:val="24"/>
          <w:szCs w:val="24"/>
        </w:rPr>
        <w:t xml:space="preserve">. </w:t>
      </w:r>
      <w:r w:rsidR="009A1C9D" w:rsidRPr="00AC5924">
        <w:rPr>
          <w:rFonts w:ascii="Times New Roman" w:hAnsi="Times New Roman" w:cs="Times New Roman"/>
          <w:sz w:val="24"/>
          <w:szCs w:val="24"/>
        </w:rPr>
        <w:t xml:space="preserve">According to </w:t>
      </w:r>
      <w:r w:rsidR="00A91F42" w:rsidRPr="00AC5924">
        <w:rPr>
          <w:rFonts w:ascii="Times New Roman" w:hAnsi="Times New Roman" w:cs="Times New Roman"/>
          <w:sz w:val="24"/>
          <w:szCs w:val="24"/>
        </w:rPr>
        <w:t>Drew Altman, who heads the Kaiser Family Foundation, “no other developed nation has zero out of pocket costs.”</w:t>
      </w:r>
      <w:r w:rsidR="00EA6CBC">
        <w:rPr>
          <w:rStyle w:val="FootnoteReference"/>
          <w:rFonts w:ascii="Times New Roman" w:hAnsi="Times New Roman" w:cs="Times New Roman"/>
          <w:sz w:val="24"/>
          <w:szCs w:val="24"/>
        </w:rPr>
        <w:footnoteReference w:id="176"/>
      </w:r>
      <w:r w:rsidR="00092C1C" w:rsidRPr="00AC5924">
        <w:rPr>
          <w:rFonts w:ascii="Times New Roman" w:hAnsi="Times New Roman" w:cs="Times New Roman"/>
          <w:sz w:val="24"/>
          <w:szCs w:val="24"/>
        </w:rPr>
        <w:t xml:space="preserve"> </w:t>
      </w:r>
      <w:r w:rsidR="00BC5B74" w:rsidRPr="00AC5924">
        <w:rPr>
          <w:rFonts w:ascii="Times New Roman" w:hAnsi="Times New Roman" w:cs="Times New Roman"/>
          <w:sz w:val="24"/>
          <w:szCs w:val="24"/>
        </w:rPr>
        <w:t xml:space="preserve">Moreover, </w:t>
      </w:r>
      <w:r w:rsidR="00623A3C" w:rsidRPr="00AC5924">
        <w:rPr>
          <w:rFonts w:ascii="Times New Roman" w:hAnsi="Times New Roman" w:cs="Times New Roman"/>
          <w:sz w:val="24"/>
          <w:szCs w:val="24"/>
        </w:rPr>
        <w:t xml:space="preserve">under the proposal, </w:t>
      </w:r>
      <w:r w:rsidR="00BC5B74" w:rsidRPr="00AC5924">
        <w:rPr>
          <w:rFonts w:ascii="Times New Roman" w:hAnsi="Times New Roman" w:cs="Times New Roman"/>
          <w:sz w:val="24"/>
          <w:szCs w:val="24"/>
        </w:rPr>
        <w:t xml:space="preserve">the government would </w:t>
      </w:r>
      <w:r w:rsidR="00A13105" w:rsidRPr="00AC5924">
        <w:rPr>
          <w:rFonts w:ascii="Times New Roman" w:hAnsi="Times New Roman" w:cs="Times New Roman"/>
          <w:sz w:val="24"/>
          <w:szCs w:val="24"/>
        </w:rPr>
        <w:t xml:space="preserve">further regulate </w:t>
      </w:r>
      <w:r w:rsidR="00BC5B74" w:rsidRPr="00AC5924">
        <w:rPr>
          <w:rFonts w:ascii="Times New Roman" w:hAnsi="Times New Roman" w:cs="Times New Roman"/>
          <w:sz w:val="24"/>
          <w:szCs w:val="24"/>
        </w:rPr>
        <w:t xml:space="preserve">the </w:t>
      </w:r>
      <w:r w:rsidR="00302769" w:rsidRPr="00AC5924">
        <w:rPr>
          <w:rFonts w:ascii="Times New Roman" w:hAnsi="Times New Roman" w:cs="Times New Roman"/>
          <w:sz w:val="24"/>
          <w:szCs w:val="24"/>
        </w:rPr>
        <w:t xml:space="preserve">physician labor force </w:t>
      </w:r>
      <w:r w:rsidR="00BC5B74" w:rsidRPr="00AC5924">
        <w:rPr>
          <w:rFonts w:ascii="Times New Roman" w:hAnsi="Times New Roman" w:cs="Times New Roman"/>
          <w:sz w:val="24"/>
          <w:szCs w:val="24"/>
        </w:rPr>
        <w:t xml:space="preserve">and </w:t>
      </w:r>
      <w:r w:rsidR="00175A16" w:rsidRPr="00AC5924">
        <w:rPr>
          <w:rFonts w:ascii="Times New Roman" w:hAnsi="Times New Roman" w:cs="Times New Roman"/>
          <w:sz w:val="24"/>
          <w:szCs w:val="24"/>
        </w:rPr>
        <w:t xml:space="preserve">quantify the </w:t>
      </w:r>
      <w:r w:rsidR="00175A16" w:rsidRPr="00AC5924">
        <w:rPr>
          <w:rFonts w:ascii="Times New Roman" w:hAnsi="Times New Roman" w:cs="Times New Roman"/>
          <w:sz w:val="24"/>
          <w:szCs w:val="24"/>
        </w:rPr>
        <w:lastRenderedPageBreak/>
        <w:t xml:space="preserve">need for </w:t>
      </w:r>
      <w:r w:rsidR="00BC5B74" w:rsidRPr="00AC5924">
        <w:rPr>
          <w:rFonts w:ascii="Times New Roman" w:hAnsi="Times New Roman" w:cs="Times New Roman"/>
          <w:sz w:val="24"/>
          <w:szCs w:val="24"/>
        </w:rPr>
        <w:t xml:space="preserve">specialists in </w:t>
      </w:r>
      <w:r w:rsidR="0074574B" w:rsidRPr="00AC5924">
        <w:rPr>
          <w:rFonts w:ascii="Times New Roman" w:hAnsi="Times New Roman" w:cs="Times New Roman"/>
          <w:sz w:val="24"/>
          <w:szCs w:val="24"/>
        </w:rPr>
        <w:t>areas</w:t>
      </w:r>
      <w:r w:rsidR="00BC5B74" w:rsidRPr="00AC5924">
        <w:rPr>
          <w:rFonts w:ascii="Times New Roman" w:hAnsi="Times New Roman" w:cs="Times New Roman"/>
          <w:sz w:val="24"/>
          <w:szCs w:val="24"/>
        </w:rPr>
        <w:t xml:space="preserve"> </w:t>
      </w:r>
      <w:r w:rsidR="00884B06" w:rsidRPr="00AC5924">
        <w:rPr>
          <w:rFonts w:ascii="Times New Roman" w:hAnsi="Times New Roman" w:cs="Times New Roman"/>
          <w:sz w:val="24"/>
          <w:szCs w:val="24"/>
        </w:rPr>
        <w:t xml:space="preserve">of </w:t>
      </w:r>
      <w:r w:rsidR="00175A16" w:rsidRPr="00AC5924">
        <w:rPr>
          <w:rFonts w:ascii="Times New Roman" w:hAnsi="Times New Roman" w:cs="Times New Roman"/>
          <w:sz w:val="24"/>
          <w:szCs w:val="24"/>
        </w:rPr>
        <w:t>practice</w:t>
      </w:r>
      <w:r w:rsidR="00BC5B74" w:rsidRPr="00AC5924">
        <w:rPr>
          <w:rFonts w:ascii="Times New Roman" w:hAnsi="Times New Roman" w:cs="Times New Roman"/>
          <w:sz w:val="24"/>
          <w:szCs w:val="24"/>
        </w:rPr>
        <w:t>.</w:t>
      </w:r>
      <w:r w:rsidR="0047359B">
        <w:rPr>
          <w:rStyle w:val="FootnoteReference"/>
          <w:rFonts w:ascii="Times New Roman" w:hAnsi="Times New Roman" w:cs="Times New Roman"/>
          <w:sz w:val="24"/>
          <w:szCs w:val="24"/>
        </w:rPr>
        <w:footnoteReference w:id="177"/>
      </w:r>
      <w:r w:rsidR="003F2337" w:rsidRPr="00AC5924">
        <w:rPr>
          <w:rFonts w:ascii="Times New Roman" w:hAnsi="Times New Roman" w:cs="Times New Roman"/>
          <w:sz w:val="24"/>
          <w:szCs w:val="24"/>
        </w:rPr>
        <w:t xml:space="preserve"> </w:t>
      </w:r>
      <w:r w:rsidR="00DC6E1E" w:rsidRPr="00AC5924">
        <w:rPr>
          <w:rFonts w:ascii="Times New Roman" w:hAnsi="Times New Roman" w:cs="Times New Roman"/>
          <w:sz w:val="24"/>
          <w:szCs w:val="24"/>
        </w:rPr>
        <w:t>Although</w:t>
      </w:r>
      <w:r w:rsidR="0074574B" w:rsidRPr="00AC5924">
        <w:rPr>
          <w:rFonts w:ascii="Times New Roman" w:hAnsi="Times New Roman" w:cs="Times New Roman"/>
          <w:sz w:val="24"/>
          <w:szCs w:val="24"/>
        </w:rPr>
        <w:t xml:space="preserve"> this paper supports a</w:t>
      </w:r>
      <w:r w:rsidR="00FC1652" w:rsidRPr="00AC5924">
        <w:rPr>
          <w:rFonts w:ascii="Times New Roman" w:hAnsi="Times New Roman" w:cs="Times New Roman"/>
          <w:sz w:val="24"/>
          <w:szCs w:val="24"/>
        </w:rPr>
        <w:t xml:space="preserve"> heightened reliance on general practitioners, i</w:t>
      </w:r>
      <w:r w:rsidR="00250BB7" w:rsidRPr="00AC5924">
        <w:rPr>
          <w:rFonts w:ascii="Times New Roman" w:hAnsi="Times New Roman" w:cs="Times New Roman"/>
          <w:sz w:val="24"/>
          <w:szCs w:val="24"/>
        </w:rPr>
        <w:t>t remains to be seen how th</w:t>
      </w:r>
      <w:r w:rsidR="00AD4690" w:rsidRPr="00AC5924">
        <w:rPr>
          <w:rFonts w:ascii="Times New Roman" w:hAnsi="Times New Roman" w:cs="Times New Roman"/>
          <w:sz w:val="24"/>
          <w:szCs w:val="24"/>
        </w:rPr>
        <w:t>ese regulations</w:t>
      </w:r>
      <w:r w:rsidR="00250BB7" w:rsidRPr="00AC5924">
        <w:rPr>
          <w:rFonts w:ascii="Times New Roman" w:hAnsi="Times New Roman" w:cs="Times New Roman"/>
          <w:sz w:val="24"/>
          <w:szCs w:val="24"/>
        </w:rPr>
        <w:t xml:space="preserve"> would affect the clinician labor market</w:t>
      </w:r>
      <w:r w:rsidR="001A53E8" w:rsidRPr="00AC5924">
        <w:rPr>
          <w:rFonts w:ascii="Times New Roman" w:hAnsi="Times New Roman" w:cs="Times New Roman"/>
          <w:sz w:val="24"/>
          <w:szCs w:val="24"/>
        </w:rPr>
        <w:t xml:space="preserve"> and the ability to supply medical services</w:t>
      </w:r>
      <w:r w:rsidR="00FC1652" w:rsidRPr="00AC5924">
        <w:rPr>
          <w:rFonts w:ascii="Times New Roman" w:hAnsi="Times New Roman" w:cs="Times New Roman"/>
          <w:sz w:val="24"/>
          <w:szCs w:val="24"/>
        </w:rPr>
        <w:t>.</w:t>
      </w:r>
      <w:r w:rsidR="00250BB7" w:rsidRPr="00AC5924">
        <w:rPr>
          <w:rFonts w:ascii="Times New Roman" w:hAnsi="Times New Roman" w:cs="Times New Roman"/>
          <w:sz w:val="24"/>
          <w:szCs w:val="24"/>
        </w:rPr>
        <w:t xml:space="preserve"> </w:t>
      </w:r>
      <w:r w:rsidR="00A16A89" w:rsidRPr="00AC5924">
        <w:rPr>
          <w:rFonts w:ascii="Times New Roman" w:hAnsi="Times New Roman" w:cs="Times New Roman"/>
          <w:sz w:val="24"/>
          <w:szCs w:val="24"/>
        </w:rPr>
        <w:t>It is likely that an increase in labor supply would be needed under this plan</w:t>
      </w:r>
      <w:r w:rsidR="00F140F6" w:rsidRPr="00AC5924">
        <w:rPr>
          <w:rFonts w:ascii="Times New Roman" w:hAnsi="Times New Roman" w:cs="Times New Roman"/>
          <w:sz w:val="24"/>
          <w:szCs w:val="24"/>
        </w:rPr>
        <w:t xml:space="preserve">, given the </w:t>
      </w:r>
      <w:r w:rsidR="00C26C16" w:rsidRPr="00AC5924">
        <w:rPr>
          <w:rFonts w:ascii="Times New Roman" w:hAnsi="Times New Roman" w:cs="Times New Roman"/>
          <w:sz w:val="24"/>
          <w:szCs w:val="24"/>
        </w:rPr>
        <w:t xml:space="preserve">increase in </w:t>
      </w:r>
      <w:r w:rsidR="00016C64" w:rsidRPr="00AC5924">
        <w:rPr>
          <w:rFonts w:ascii="Times New Roman" w:hAnsi="Times New Roman" w:cs="Times New Roman"/>
          <w:sz w:val="24"/>
          <w:szCs w:val="24"/>
        </w:rPr>
        <w:t>consumers</w:t>
      </w:r>
      <w:r w:rsidR="00243113">
        <w:rPr>
          <w:rStyle w:val="FootnoteReference"/>
          <w:rFonts w:ascii="Times New Roman" w:hAnsi="Times New Roman" w:cs="Times New Roman"/>
          <w:sz w:val="24"/>
          <w:szCs w:val="24"/>
        </w:rPr>
        <w:footnoteReference w:id="178"/>
      </w:r>
      <w:r w:rsidR="00016C64" w:rsidRPr="00AC5924">
        <w:rPr>
          <w:rFonts w:ascii="Times New Roman" w:hAnsi="Times New Roman" w:cs="Times New Roman"/>
          <w:sz w:val="24"/>
          <w:szCs w:val="24"/>
        </w:rPr>
        <w:t xml:space="preserve"> and the plan’s extended benefits.</w:t>
      </w:r>
      <w:r w:rsidR="00DE679D">
        <w:rPr>
          <w:rStyle w:val="FootnoteReference"/>
          <w:rFonts w:ascii="Times New Roman" w:hAnsi="Times New Roman" w:cs="Times New Roman"/>
          <w:sz w:val="24"/>
          <w:szCs w:val="24"/>
        </w:rPr>
        <w:footnoteReference w:id="179"/>
      </w:r>
      <w:r w:rsidR="00016C64" w:rsidRPr="00AC5924">
        <w:rPr>
          <w:rFonts w:ascii="Times New Roman" w:hAnsi="Times New Roman" w:cs="Times New Roman"/>
          <w:sz w:val="24"/>
          <w:szCs w:val="24"/>
        </w:rPr>
        <w:t xml:space="preserve"> </w:t>
      </w:r>
    </w:p>
    <w:p w14:paraId="7B8CEE96" w14:textId="5C430D7C" w:rsidR="00A26E5E" w:rsidRPr="00403E6A" w:rsidRDefault="00047145" w:rsidP="009C2D3F">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r>
      <w:r w:rsidR="00B21158" w:rsidRPr="00403E6A">
        <w:rPr>
          <w:rFonts w:ascii="Times New Roman" w:hAnsi="Times New Roman" w:cs="Times New Roman"/>
          <w:sz w:val="24"/>
          <w:szCs w:val="24"/>
        </w:rPr>
        <w:t>Given its scope, i</w:t>
      </w:r>
      <w:r w:rsidR="00480941" w:rsidRPr="00403E6A">
        <w:rPr>
          <w:rFonts w:ascii="Times New Roman" w:hAnsi="Times New Roman" w:cs="Times New Roman"/>
          <w:sz w:val="24"/>
          <w:szCs w:val="24"/>
        </w:rPr>
        <w:t xml:space="preserve">t is difficult to </w:t>
      </w:r>
      <w:r w:rsidR="001A56D8" w:rsidRPr="00403E6A">
        <w:rPr>
          <w:rFonts w:ascii="Times New Roman" w:hAnsi="Times New Roman" w:cs="Times New Roman"/>
          <w:sz w:val="24"/>
          <w:szCs w:val="24"/>
        </w:rPr>
        <w:t xml:space="preserve">grasp </w:t>
      </w:r>
      <w:r w:rsidR="003F2F04" w:rsidRPr="00403E6A">
        <w:rPr>
          <w:rFonts w:ascii="Times New Roman" w:hAnsi="Times New Roman" w:cs="Times New Roman"/>
          <w:sz w:val="24"/>
          <w:szCs w:val="24"/>
        </w:rPr>
        <w:t xml:space="preserve">the effects of </w:t>
      </w:r>
      <w:r w:rsidR="00B21158" w:rsidRPr="00403E6A">
        <w:rPr>
          <w:rFonts w:ascii="Times New Roman" w:hAnsi="Times New Roman" w:cs="Times New Roman"/>
          <w:sz w:val="24"/>
          <w:szCs w:val="24"/>
        </w:rPr>
        <w:t xml:space="preserve">Sanders’s </w:t>
      </w:r>
      <w:r w:rsidR="003F2F04" w:rsidRPr="00403E6A">
        <w:rPr>
          <w:rFonts w:ascii="Times New Roman" w:hAnsi="Times New Roman" w:cs="Times New Roman"/>
          <w:sz w:val="24"/>
          <w:szCs w:val="24"/>
        </w:rPr>
        <w:t>proposal</w:t>
      </w:r>
      <w:r w:rsidR="005F721C" w:rsidRPr="00403E6A">
        <w:rPr>
          <w:rFonts w:ascii="Times New Roman" w:hAnsi="Times New Roman" w:cs="Times New Roman"/>
          <w:sz w:val="24"/>
          <w:szCs w:val="24"/>
        </w:rPr>
        <w:t xml:space="preserve"> in its entirety</w:t>
      </w:r>
      <w:r w:rsidR="003F2F04" w:rsidRPr="00403E6A">
        <w:rPr>
          <w:rFonts w:ascii="Times New Roman" w:hAnsi="Times New Roman" w:cs="Times New Roman"/>
          <w:sz w:val="24"/>
          <w:szCs w:val="24"/>
        </w:rPr>
        <w:t>.</w:t>
      </w:r>
      <w:r w:rsidR="00961065" w:rsidRPr="00403E6A">
        <w:rPr>
          <w:rFonts w:ascii="Times New Roman" w:hAnsi="Times New Roman" w:cs="Times New Roman"/>
          <w:sz w:val="24"/>
          <w:szCs w:val="24"/>
        </w:rPr>
        <w:t xml:space="preserve"> </w:t>
      </w:r>
      <w:r w:rsidR="00D51232" w:rsidRPr="00403E6A">
        <w:rPr>
          <w:rFonts w:ascii="Times New Roman" w:hAnsi="Times New Roman" w:cs="Times New Roman"/>
          <w:sz w:val="24"/>
          <w:szCs w:val="24"/>
        </w:rPr>
        <w:t>The impetus behind this bill is the belief that</w:t>
      </w:r>
      <w:r w:rsidR="009C2D3F" w:rsidRPr="00403E6A">
        <w:rPr>
          <w:rFonts w:ascii="Times New Roman" w:hAnsi="Times New Roman" w:cs="Times New Roman"/>
          <w:sz w:val="24"/>
          <w:szCs w:val="24"/>
        </w:rPr>
        <w:t xml:space="preserve"> health care is a right, but </w:t>
      </w:r>
      <w:r w:rsidR="00D51232" w:rsidRPr="00403E6A">
        <w:rPr>
          <w:rFonts w:ascii="Times New Roman" w:hAnsi="Times New Roman" w:cs="Times New Roman"/>
          <w:sz w:val="24"/>
          <w:szCs w:val="24"/>
        </w:rPr>
        <w:t>th</w:t>
      </w:r>
      <w:r w:rsidR="00E50EDE" w:rsidRPr="00403E6A">
        <w:rPr>
          <w:rFonts w:ascii="Times New Roman" w:hAnsi="Times New Roman" w:cs="Times New Roman"/>
          <w:sz w:val="24"/>
          <w:szCs w:val="24"/>
        </w:rPr>
        <w:t>is</w:t>
      </w:r>
      <w:r w:rsidR="00D51232" w:rsidRPr="00403E6A">
        <w:rPr>
          <w:rFonts w:ascii="Times New Roman" w:hAnsi="Times New Roman" w:cs="Times New Roman"/>
          <w:sz w:val="24"/>
          <w:szCs w:val="24"/>
        </w:rPr>
        <w:t xml:space="preserve"> is </w:t>
      </w:r>
      <w:r w:rsidR="009C2D3F" w:rsidRPr="00403E6A">
        <w:rPr>
          <w:rFonts w:ascii="Times New Roman" w:hAnsi="Times New Roman" w:cs="Times New Roman"/>
          <w:sz w:val="24"/>
          <w:szCs w:val="24"/>
        </w:rPr>
        <w:t xml:space="preserve">misguided. </w:t>
      </w:r>
      <w:r w:rsidR="002B30C3" w:rsidRPr="00403E6A">
        <w:rPr>
          <w:rFonts w:ascii="Times New Roman" w:hAnsi="Times New Roman" w:cs="Times New Roman"/>
          <w:sz w:val="24"/>
          <w:szCs w:val="24"/>
        </w:rPr>
        <w:t>While rights are inalienable, s</w:t>
      </w:r>
      <w:r w:rsidR="009C2D3F" w:rsidRPr="00403E6A">
        <w:rPr>
          <w:rFonts w:ascii="Times New Roman" w:hAnsi="Times New Roman" w:cs="Times New Roman"/>
          <w:sz w:val="24"/>
          <w:szCs w:val="24"/>
        </w:rPr>
        <w:t>ervices are not; they are not innovative</w:t>
      </w:r>
      <w:r w:rsidR="00C77108" w:rsidRPr="00403E6A">
        <w:rPr>
          <w:rFonts w:ascii="Times New Roman" w:hAnsi="Times New Roman" w:cs="Times New Roman"/>
          <w:sz w:val="24"/>
          <w:szCs w:val="24"/>
        </w:rPr>
        <w:t xml:space="preserve">, </w:t>
      </w:r>
      <w:r w:rsidR="009C2D3F" w:rsidRPr="00403E6A">
        <w:rPr>
          <w:rFonts w:ascii="Times New Roman" w:hAnsi="Times New Roman" w:cs="Times New Roman"/>
          <w:sz w:val="24"/>
          <w:szCs w:val="24"/>
        </w:rPr>
        <w:t>efficient</w:t>
      </w:r>
      <w:r w:rsidR="00C77108" w:rsidRPr="00403E6A">
        <w:rPr>
          <w:rFonts w:ascii="Times New Roman" w:hAnsi="Times New Roman" w:cs="Times New Roman"/>
          <w:sz w:val="24"/>
          <w:szCs w:val="24"/>
        </w:rPr>
        <w:t>, and present</w:t>
      </w:r>
      <w:r w:rsidR="009C2D3F" w:rsidRPr="00403E6A">
        <w:rPr>
          <w:rFonts w:ascii="Times New Roman" w:hAnsi="Times New Roman" w:cs="Times New Roman"/>
          <w:sz w:val="24"/>
          <w:szCs w:val="24"/>
        </w:rPr>
        <w:t xml:space="preserve"> simply because a statute says they ought to be. </w:t>
      </w:r>
      <w:r w:rsidR="00897BB3" w:rsidRPr="00403E6A">
        <w:rPr>
          <w:rFonts w:ascii="Times New Roman" w:hAnsi="Times New Roman" w:cs="Times New Roman"/>
          <w:sz w:val="24"/>
          <w:szCs w:val="24"/>
        </w:rPr>
        <w:t xml:space="preserve">Supply, demand, </w:t>
      </w:r>
      <w:r w:rsidR="00F26AF7" w:rsidRPr="00403E6A">
        <w:rPr>
          <w:rFonts w:ascii="Times New Roman" w:hAnsi="Times New Roman" w:cs="Times New Roman"/>
          <w:sz w:val="24"/>
          <w:szCs w:val="24"/>
        </w:rPr>
        <w:t xml:space="preserve">and behavioral science all affect the </w:t>
      </w:r>
      <w:r w:rsidR="00AF4642" w:rsidRPr="00403E6A">
        <w:rPr>
          <w:rFonts w:ascii="Times New Roman" w:hAnsi="Times New Roman" w:cs="Times New Roman"/>
          <w:sz w:val="24"/>
          <w:szCs w:val="24"/>
        </w:rPr>
        <w:t xml:space="preserve">development and </w:t>
      </w:r>
      <w:r w:rsidR="007C2FE8" w:rsidRPr="00403E6A">
        <w:rPr>
          <w:rFonts w:ascii="Times New Roman" w:hAnsi="Times New Roman" w:cs="Times New Roman"/>
          <w:sz w:val="24"/>
          <w:szCs w:val="24"/>
        </w:rPr>
        <w:t xml:space="preserve">sustainability of an industry. </w:t>
      </w:r>
      <w:r w:rsidR="00163F33" w:rsidRPr="00403E6A">
        <w:rPr>
          <w:rFonts w:ascii="Times New Roman" w:hAnsi="Times New Roman" w:cs="Times New Roman"/>
          <w:sz w:val="24"/>
          <w:szCs w:val="24"/>
        </w:rPr>
        <w:t xml:space="preserve">To provide a metaphorical example, the City of Newark and the State of New Jersey combine to spend </w:t>
      </w:r>
      <w:r w:rsidR="004E0318" w:rsidRPr="00403E6A">
        <w:rPr>
          <w:rFonts w:ascii="Times New Roman" w:hAnsi="Times New Roman" w:cs="Times New Roman"/>
          <w:sz w:val="24"/>
          <w:szCs w:val="24"/>
        </w:rPr>
        <w:t xml:space="preserve">over $25,000 annually per </w:t>
      </w:r>
      <w:r w:rsidR="00BA6B3A" w:rsidRPr="00403E6A">
        <w:rPr>
          <w:rFonts w:ascii="Times New Roman" w:hAnsi="Times New Roman" w:cs="Times New Roman"/>
          <w:sz w:val="24"/>
          <w:szCs w:val="24"/>
        </w:rPr>
        <w:t xml:space="preserve">pupil </w:t>
      </w:r>
      <w:r w:rsidR="004E0318" w:rsidRPr="00403E6A">
        <w:rPr>
          <w:rFonts w:ascii="Times New Roman" w:hAnsi="Times New Roman" w:cs="Times New Roman"/>
          <w:sz w:val="24"/>
          <w:szCs w:val="24"/>
        </w:rPr>
        <w:t xml:space="preserve">to graduate just </w:t>
      </w:r>
      <w:r w:rsidR="00B83570" w:rsidRPr="00403E6A">
        <w:rPr>
          <w:rFonts w:ascii="Times New Roman" w:hAnsi="Times New Roman" w:cs="Times New Roman"/>
          <w:sz w:val="24"/>
          <w:szCs w:val="24"/>
        </w:rPr>
        <w:t>sixty</w:t>
      </w:r>
      <w:r w:rsidR="004E0318" w:rsidRPr="00403E6A">
        <w:rPr>
          <w:rFonts w:ascii="Times New Roman" w:hAnsi="Times New Roman" w:cs="Times New Roman"/>
          <w:sz w:val="24"/>
          <w:szCs w:val="24"/>
        </w:rPr>
        <w:t xml:space="preserve"> percent of their high school students.</w:t>
      </w:r>
      <w:r w:rsidR="00816C1C">
        <w:rPr>
          <w:rStyle w:val="FootnoteReference"/>
          <w:rFonts w:ascii="Times New Roman" w:hAnsi="Times New Roman" w:cs="Times New Roman"/>
          <w:sz w:val="24"/>
          <w:szCs w:val="24"/>
        </w:rPr>
        <w:footnoteReference w:id="180"/>
      </w:r>
      <w:r w:rsidR="004E0318" w:rsidRPr="00403E6A">
        <w:rPr>
          <w:rFonts w:ascii="Times New Roman" w:hAnsi="Times New Roman" w:cs="Times New Roman"/>
          <w:sz w:val="24"/>
          <w:szCs w:val="24"/>
        </w:rPr>
        <w:t xml:space="preserve"> </w:t>
      </w:r>
      <w:r w:rsidR="009368D8" w:rsidRPr="00403E6A">
        <w:rPr>
          <w:rFonts w:ascii="Times New Roman" w:hAnsi="Times New Roman" w:cs="Times New Roman"/>
          <w:sz w:val="24"/>
          <w:szCs w:val="24"/>
        </w:rPr>
        <w:t xml:space="preserve">The funding is </w:t>
      </w:r>
      <w:r w:rsidR="00977B40" w:rsidRPr="00403E6A">
        <w:rPr>
          <w:rFonts w:ascii="Times New Roman" w:hAnsi="Times New Roman" w:cs="Times New Roman"/>
          <w:sz w:val="24"/>
          <w:szCs w:val="24"/>
        </w:rPr>
        <w:t xml:space="preserve">more than </w:t>
      </w:r>
      <w:r w:rsidR="009368D8" w:rsidRPr="00403E6A">
        <w:rPr>
          <w:rFonts w:ascii="Times New Roman" w:hAnsi="Times New Roman" w:cs="Times New Roman"/>
          <w:sz w:val="24"/>
          <w:szCs w:val="24"/>
        </w:rPr>
        <w:t xml:space="preserve">adequate, but the </w:t>
      </w:r>
      <w:r w:rsidR="00901313" w:rsidRPr="00403E6A">
        <w:rPr>
          <w:rFonts w:ascii="Times New Roman" w:hAnsi="Times New Roman" w:cs="Times New Roman"/>
          <w:sz w:val="24"/>
          <w:szCs w:val="24"/>
        </w:rPr>
        <w:t xml:space="preserve">service is not. Institutionalized special interests </w:t>
      </w:r>
      <w:r w:rsidR="00905B78" w:rsidRPr="00403E6A">
        <w:rPr>
          <w:rFonts w:ascii="Times New Roman" w:hAnsi="Times New Roman" w:cs="Times New Roman"/>
          <w:sz w:val="24"/>
          <w:szCs w:val="24"/>
        </w:rPr>
        <w:t>protect the status quo to their benefit at the expense of quality, which this paper fears would happen to the healthcare industry under Sanders’s proposal.</w:t>
      </w:r>
      <w:r w:rsidR="00163F33" w:rsidRPr="00403E6A">
        <w:rPr>
          <w:rFonts w:ascii="Times New Roman" w:hAnsi="Times New Roman" w:cs="Times New Roman"/>
          <w:sz w:val="24"/>
          <w:szCs w:val="24"/>
        </w:rPr>
        <w:t xml:space="preserve"> </w:t>
      </w:r>
      <w:r w:rsidR="002219AE" w:rsidRPr="00403E6A">
        <w:rPr>
          <w:rFonts w:ascii="Times New Roman" w:hAnsi="Times New Roman" w:cs="Times New Roman"/>
          <w:sz w:val="24"/>
          <w:szCs w:val="24"/>
        </w:rPr>
        <w:t>T</w:t>
      </w:r>
      <w:r w:rsidR="009C2D3F" w:rsidRPr="00403E6A">
        <w:rPr>
          <w:rFonts w:ascii="Times New Roman" w:hAnsi="Times New Roman" w:cs="Times New Roman"/>
          <w:sz w:val="24"/>
          <w:szCs w:val="24"/>
        </w:rPr>
        <w:t>o solve the issue of coverage gaps</w:t>
      </w:r>
      <w:r w:rsidR="009E559A" w:rsidRPr="00403E6A">
        <w:rPr>
          <w:rFonts w:ascii="Times New Roman" w:hAnsi="Times New Roman" w:cs="Times New Roman"/>
          <w:sz w:val="24"/>
          <w:szCs w:val="24"/>
        </w:rPr>
        <w:t xml:space="preserve"> and general costs</w:t>
      </w:r>
      <w:r w:rsidR="009C2D3F" w:rsidRPr="00403E6A">
        <w:rPr>
          <w:rFonts w:ascii="Times New Roman" w:hAnsi="Times New Roman" w:cs="Times New Roman"/>
          <w:sz w:val="24"/>
          <w:szCs w:val="24"/>
        </w:rPr>
        <w:t xml:space="preserve">, policy makers should be adamantly focused on </w:t>
      </w:r>
      <w:r w:rsidR="00EC3DCC" w:rsidRPr="00403E6A">
        <w:rPr>
          <w:rFonts w:ascii="Times New Roman" w:hAnsi="Times New Roman" w:cs="Times New Roman"/>
          <w:sz w:val="24"/>
          <w:szCs w:val="24"/>
        </w:rPr>
        <w:t>decentralizing the management of health care dollars</w:t>
      </w:r>
      <w:r w:rsidR="004D055D" w:rsidRPr="00403E6A">
        <w:rPr>
          <w:rFonts w:ascii="Times New Roman" w:hAnsi="Times New Roman" w:cs="Times New Roman"/>
          <w:sz w:val="24"/>
          <w:szCs w:val="24"/>
        </w:rPr>
        <w:t xml:space="preserve"> and grant consumers greater discretion</w:t>
      </w:r>
      <w:r w:rsidR="009C2D3F" w:rsidRPr="00403E6A">
        <w:rPr>
          <w:rFonts w:ascii="Times New Roman" w:hAnsi="Times New Roman" w:cs="Times New Roman"/>
          <w:sz w:val="24"/>
          <w:szCs w:val="24"/>
        </w:rPr>
        <w:t>.</w:t>
      </w:r>
      <w:r w:rsidR="00A26E5E" w:rsidRPr="00403E6A">
        <w:rPr>
          <w:rFonts w:ascii="Times New Roman" w:hAnsi="Times New Roman" w:cs="Times New Roman"/>
          <w:sz w:val="24"/>
          <w:szCs w:val="24"/>
        </w:rPr>
        <w:t xml:space="preserve"> This bill </w:t>
      </w:r>
      <w:r w:rsidR="002B3DB3" w:rsidRPr="00403E6A">
        <w:rPr>
          <w:rFonts w:ascii="Times New Roman" w:hAnsi="Times New Roman" w:cs="Times New Roman"/>
          <w:sz w:val="24"/>
          <w:szCs w:val="24"/>
        </w:rPr>
        <w:t>does the exact opposite</w:t>
      </w:r>
      <w:r w:rsidR="00B52CA7" w:rsidRPr="00403E6A">
        <w:rPr>
          <w:rFonts w:ascii="Times New Roman" w:hAnsi="Times New Roman" w:cs="Times New Roman"/>
          <w:sz w:val="24"/>
          <w:szCs w:val="24"/>
        </w:rPr>
        <w:t xml:space="preserve"> and </w:t>
      </w:r>
      <w:r w:rsidR="00A26E5E" w:rsidRPr="00403E6A">
        <w:rPr>
          <w:rFonts w:ascii="Times New Roman" w:hAnsi="Times New Roman" w:cs="Times New Roman"/>
          <w:sz w:val="24"/>
          <w:szCs w:val="24"/>
        </w:rPr>
        <w:t xml:space="preserve">demands </w:t>
      </w:r>
      <w:r w:rsidR="005E6828" w:rsidRPr="00403E6A">
        <w:rPr>
          <w:rFonts w:ascii="Times New Roman" w:hAnsi="Times New Roman" w:cs="Times New Roman"/>
          <w:sz w:val="24"/>
          <w:szCs w:val="24"/>
        </w:rPr>
        <w:t xml:space="preserve">the nationalization of </w:t>
      </w:r>
      <w:r w:rsidR="00B82590" w:rsidRPr="00403E6A">
        <w:rPr>
          <w:rFonts w:ascii="Times New Roman" w:hAnsi="Times New Roman" w:cs="Times New Roman"/>
          <w:sz w:val="24"/>
          <w:szCs w:val="24"/>
        </w:rPr>
        <w:t>an industry that employs eleven percent of the U.S. workforce</w:t>
      </w:r>
      <w:r w:rsidR="005E6828" w:rsidRPr="00403E6A">
        <w:rPr>
          <w:rFonts w:ascii="Times New Roman" w:hAnsi="Times New Roman" w:cs="Times New Roman"/>
          <w:sz w:val="24"/>
          <w:szCs w:val="24"/>
        </w:rPr>
        <w:t>.</w:t>
      </w:r>
      <w:r w:rsidR="002B5F79" w:rsidRPr="00403E6A">
        <w:rPr>
          <w:rFonts w:ascii="Times New Roman" w:hAnsi="Times New Roman" w:cs="Times New Roman"/>
          <w:sz w:val="24"/>
          <w:szCs w:val="24"/>
        </w:rPr>
        <w:t xml:space="preserve"> It </w:t>
      </w:r>
      <w:r w:rsidR="00DC7016" w:rsidRPr="00403E6A">
        <w:rPr>
          <w:rFonts w:ascii="Times New Roman" w:hAnsi="Times New Roman" w:cs="Times New Roman"/>
          <w:sz w:val="24"/>
          <w:szCs w:val="24"/>
        </w:rPr>
        <w:t xml:space="preserve">assumes </w:t>
      </w:r>
      <w:r w:rsidR="00F63805" w:rsidRPr="00403E6A">
        <w:rPr>
          <w:rFonts w:ascii="Times New Roman" w:hAnsi="Times New Roman" w:cs="Times New Roman"/>
          <w:sz w:val="24"/>
          <w:szCs w:val="24"/>
        </w:rPr>
        <w:t xml:space="preserve">that central planners </w:t>
      </w:r>
      <w:r w:rsidR="001433CF" w:rsidRPr="00403E6A">
        <w:rPr>
          <w:rFonts w:ascii="Times New Roman" w:hAnsi="Times New Roman" w:cs="Times New Roman"/>
          <w:sz w:val="24"/>
          <w:szCs w:val="24"/>
        </w:rPr>
        <w:t xml:space="preserve">can </w:t>
      </w:r>
      <w:r w:rsidR="009D685F" w:rsidRPr="00403E6A">
        <w:rPr>
          <w:rFonts w:ascii="Times New Roman" w:hAnsi="Times New Roman" w:cs="Times New Roman"/>
          <w:sz w:val="24"/>
          <w:szCs w:val="24"/>
        </w:rPr>
        <w:t>use wide-ranging price controls</w:t>
      </w:r>
      <w:r w:rsidR="00637477" w:rsidRPr="00403E6A">
        <w:rPr>
          <w:rFonts w:ascii="Times New Roman" w:hAnsi="Times New Roman" w:cs="Times New Roman"/>
          <w:sz w:val="24"/>
          <w:szCs w:val="24"/>
        </w:rPr>
        <w:t xml:space="preserve"> and regulatory efforts</w:t>
      </w:r>
      <w:r w:rsidR="009D685F" w:rsidRPr="00403E6A">
        <w:rPr>
          <w:rFonts w:ascii="Times New Roman" w:hAnsi="Times New Roman" w:cs="Times New Roman"/>
          <w:sz w:val="24"/>
          <w:szCs w:val="24"/>
        </w:rPr>
        <w:t xml:space="preserve"> to </w:t>
      </w:r>
      <w:r w:rsidR="006E5202" w:rsidRPr="00403E6A">
        <w:rPr>
          <w:rFonts w:ascii="Times New Roman" w:hAnsi="Times New Roman" w:cs="Times New Roman"/>
          <w:sz w:val="24"/>
          <w:szCs w:val="24"/>
        </w:rPr>
        <w:t xml:space="preserve">manage the cost and quality of </w:t>
      </w:r>
      <w:r w:rsidR="00CA70D1" w:rsidRPr="00403E6A">
        <w:rPr>
          <w:rFonts w:ascii="Times New Roman" w:hAnsi="Times New Roman" w:cs="Times New Roman"/>
          <w:sz w:val="24"/>
          <w:szCs w:val="24"/>
        </w:rPr>
        <w:t xml:space="preserve">medical </w:t>
      </w:r>
      <w:r w:rsidR="006E5202" w:rsidRPr="00403E6A">
        <w:rPr>
          <w:rFonts w:ascii="Times New Roman" w:hAnsi="Times New Roman" w:cs="Times New Roman"/>
          <w:sz w:val="24"/>
          <w:szCs w:val="24"/>
        </w:rPr>
        <w:t xml:space="preserve">services provided to </w:t>
      </w:r>
      <w:r w:rsidR="00CA70D1" w:rsidRPr="00403E6A">
        <w:rPr>
          <w:rFonts w:ascii="Times New Roman" w:hAnsi="Times New Roman" w:cs="Times New Roman"/>
          <w:sz w:val="24"/>
          <w:szCs w:val="24"/>
        </w:rPr>
        <w:t xml:space="preserve">over 320 million </w:t>
      </w:r>
      <w:r w:rsidR="006E5202" w:rsidRPr="00403E6A">
        <w:rPr>
          <w:rFonts w:ascii="Times New Roman" w:hAnsi="Times New Roman" w:cs="Times New Roman"/>
          <w:sz w:val="24"/>
          <w:szCs w:val="24"/>
        </w:rPr>
        <w:t xml:space="preserve">Americans. </w:t>
      </w:r>
      <w:r w:rsidR="00B67BB0">
        <w:rPr>
          <w:rFonts w:ascii="Times New Roman" w:hAnsi="Times New Roman" w:cs="Times New Roman"/>
          <w:sz w:val="24"/>
          <w:szCs w:val="24"/>
        </w:rPr>
        <w:t>M</w:t>
      </w:r>
      <w:r w:rsidR="00CA3754" w:rsidRPr="00403E6A">
        <w:rPr>
          <w:rFonts w:ascii="Times New Roman" w:hAnsi="Times New Roman" w:cs="Times New Roman"/>
          <w:sz w:val="24"/>
          <w:szCs w:val="24"/>
        </w:rPr>
        <w:t xml:space="preserve">onopsony </w:t>
      </w:r>
      <w:r w:rsidR="00DC55F3" w:rsidRPr="00403E6A">
        <w:rPr>
          <w:rFonts w:ascii="Times New Roman" w:hAnsi="Times New Roman" w:cs="Times New Roman"/>
          <w:sz w:val="24"/>
          <w:szCs w:val="24"/>
        </w:rPr>
        <w:t xml:space="preserve">typically leads </w:t>
      </w:r>
      <w:r w:rsidR="00371D2D" w:rsidRPr="00403E6A">
        <w:rPr>
          <w:rFonts w:ascii="Times New Roman" w:hAnsi="Times New Roman" w:cs="Times New Roman"/>
          <w:sz w:val="24"/>
          <w:szCs w:val="24"/>
        </w:rPr>
        <w:t>to a</w:t>
      </w:r>
      <w:r w:rsidR="00E20180" w:rsidRPr="00403E6A">
        <w:rPr>
          <w:rFonts w:ascii="Times New Roman" w:hAnsi="Times New Roman" w:cs="Times New Roman"/>
          <w:sz w:val="24"/>
          <w:szCs w:val="24"/>
        </w:rPr>
        <w:t xml:space="preserve"> decrease in services provided</w:t>
      </w:r>
      <w:r w:rsidR="00156715" w:rsidRPr="00403E6A">
        <w:rPr>
          <w:rFonts w:ascii="Times New Roman" w:hAnsi="Times New Roman" w:cs="Times New Roman"/>
          <w:sz w:val="24"/>
          <w:szCs w:val="24"/>
        </w:rPr>
        <w:t xml:space="preserve"> as </w:t>
      </w:r>
      <w:r w:rsidR="00384158" w:rsidRPr="00403E6A">
        <w:rPr>
          <w:rFonts w:ascii="Times New Roman" w:hAnsi="Times New Roman" w:cs="Times New Roman"/>
          <w:sz w:val="24"/>
          <w:szCs w:val="24"/>
        </w:rPr>
        <w:lastRenderedPageBreak/>
        <w:t xml:space="preserve">suppliers </w:t>
      </w:r>
      <w:r w:rsidR="005171B6" w:rsidRPr="00403E6A">
        <w:rPr>
          <w:rFonts w:ascii="Times New Roman" w:hAnsi="Times New Roman" w:cs="Times New Roman"/>
          <w:sz w:val="24"/>
          <w:szCs w:val="24"/>
        </w:rPr>
        <w:t xml:space="preserve">cannot sustain </w:t>
      </w:r>
      <w:r w:rsidR="000F326C" w:rsidRPr="00403E6A">
        <w:rPr>
          <w:rFonts w:ascii="Times New Roman" w:hAnsi="Times New Roman" w:cs="Times New Roman"/>
          <w:sz w:val="24"/>
          <w:szCs w:val="24"/>
        </w:rPr>
        <w:t>the buyer’s leverage to fix prices.</w:t>
      </w:r>
      <w:r w:rsidR="00C45E85">
        <w:rPr>
          <w:rStyle w:val="FootnoteReference"/>
          <w:rFonts w:ascii="Times New Roman" w:hAnsi="Times New Roman" w:cs="Times New Roman"/>
          <w:sz w:val="24"/>
          <w:szCs w:val="24"/>
        </w:rPr>
        <w:footnoteReference w:id="181"/>
      </w:r>
      <w:r w:rsidR="000F326C" w:rsidRPr="00403E6A">
        <w:rPr>
          <w:rFonts w:ascii="Times New Roman" w:hAnsi="Times New Roman" w:cs="Times New Roman"/>
          <w:sz w:val="24"/>
          <w:szCs w:val="24"/>
        </w:rPr>
        <w:t xml:space="preserve"> </w:t>
      </w:r>
      <w:r w:rsidR="00985F6B" w:rsidRPr="00403E6A">
        <w:rPr>
          <w:rFonts w:ascii="Times New Roman" w:hAnsi="Times New Roman" w:cs="Times New Roman"/>
          <w:sz w:val="24"/>
          <w:szCs w:val="24"/>
        </w:rPr>
        <w:t xml:space="preserve">This paper sees no </w:t>
      </w:r>
      <w:r w:rsidR="001F67D6" w:rsidRPr="00403E6A">
        <w:rPr>
          <w:rFonts w:ascii="Times New Roman" w:hAnsi="Times New Roman" w:cs="Times New Roman"/>
          <w:sz w:val="24"/>
          <w:szCs w:val="24"/>
        </w:rPr>
        <w:t>reason to believe that the medical industry w</w:t>
      </w:r>
      <w:r w:rsidR="00934388" w:rsidRPr="00403E6A">
        <w:rPr>
          <w:rFonts w:ascii="Times New Roman" w:hAnsi="Times New Roman" w:cs="Times New Roman"/>
          <w:sz w:val="24"/>
          <w:szCs w:val="24"/>
        </w:rPr>
        <w:t>ould</w:t>
      </w:r>
      <w:r w:rsidR="001F67D6" w:rsidRPr="00403E6A">
        <w:rPr>
          <w:rFonts w:ascii="Times New Roman" w:hAnsi="Times New Roman" w:cs="Times New Roman"/>
          <w:sz w:val="24"/>
          <w:szCs w:val="24"/>
        </w:rPr>
        <w:t xml:space="preserve"> be an exception. </w:t>
      </w:r>
    </w:p>
    <w:p w14:paraId="28E1AD29" w14:textId="57489A0D" w:rsidR="00F012AD" w:rsidRPr="00403E6A" w:rsidRDefault="000E394C" w:rsidP="00F012AD">
      <w:pPr>
        <w:pStyle w:val="ListParagraph"/>
        <w:numPr>
          <w:ilvl w:val="0"/>
          <w:numId w:val="6"/>
        </w:numPr>
        <w:spacing w:after="0" w:line="480" w:lineRule="auto"/>
        <w:rPr>
          <w:rFonts w:ascii="Times New Roman" w:hAnsi="Times New Roman" w:cs="Times New Roman"/>
          <w:sz w:val="24"/>
          <w:szCs w:val="24"/>
          <w:u w:val="single"/>
        </w:rPr>
      </w:pPr>
      <w:r w:rsidRPr="00403E6A">
        <w:rPr>
          <w:rFonts w:ascii="Times New Roman" w:hAnsi="Times New Roman" w:cs="Times New Roman"/>
          <w:sz w:val="24"/>
          <w:szCs w:val="24"/>
          <w:u w:val="single"/>
        </w:rPr>
        <w:t xml:space="preserve">The Dog Chasing </w:t>
      </w:r>
      <w:r w:rsidR="0046511F" w:rsidRPr="00403E6A">
        <w:rPr>
          <w:rFonts w:ascii="Times New Roman" w:hAnsi="Times New Roman" w:cs="Times New Roman"/>
          <w:sz w:val="24"/>
          <w:szCs w:val="24"/>
          <w:u w:val="single"/>
        </w:rPr>
        <w:t>i</w:t>
      </w:r>
      <w:r w:rsidRPr="00403E6A">
        <w:rPr>
          <w:rFonts w:ascii="Times New Roman" w:hAnsi="Times New Roman" w:cs="Times New Roman"/>
          <w:sz w:val="24"/>
          <w:szCs w:val="24"/>
          <w:u w:val="single"/>
        </w:rPr>
        <w:t xml:space="preserve">ts Tail </w:t>
      </w:r>
      <w:r w:rsidR="0046511F" w:rsidRPr="00403E6A">
        <w:rPr>
          <w:rFonts w:ascii="Times New Roman" w:hAnsi="Times New Roman" w:cs="Times New Roman"/>
          <w:sz w:val="24"/>
          <w:szCs w:val="24"/>
          <w:u w:val="single"/>
        </w:rPr>
        <w:t>is Getting Exhausted</w:t>
      </w:r>
    </w:p>
    <w:p w14:paraId="4E8BC46F" w14:textId="2465CDD1" w:rsidR="00F012AD" w:rsidRPr="00403E6A" w:rsidRDefault="00F012AD" w:rsidP="00F012AD">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t>Although President Biden’s plan for healthcare reform has yet to be drafted into legislation, his campaign website still provides some detail into how he believes America ought to deal with concentrated health care markets. His proposal suggests similar state-sponsored purchasing as Sanders’s plan, albeit far less expansive and universal. The proposal introduces a public insurance option for Americans who seek an alternative from the existing private or employer-sponsored marketplace.</w:t>
      </w:r>
      <w:r w:rsidR="00C463CE">
        <w:rPr>
          <w:rStyle w:val="FootnoteReference"/>
          <w:rFonts w:ascii="Times New Roman" w:hAnsi="Times New Roman" w:cs="Times New Roman"/>
          <w:sz w:val="24"/>
          <w:szCs w:val="24"/>
        </w:rPr>
        <w:footnoteReference w:id="182"/>
      </w:r>
      <w:r w:rsidRPr="00403E6A">
        <w:rPr>
          <w:rFonts w:ascii="Times New Roman" w:hAnsi="Times New Roman" w:cs="Times New Roman"/>
          <w:sz w:val="24"/>
          <w:szCs w:val="24"/>
        </w:rPr>
        <w:t xml:space="preserve"> The proposal lacks finite detail such as the cost of premiums for beneficiaries and the services that would be covered under the plan.</w:t>
      </w:r>
      <w:r w:rsidR="00C07E82">
        <w:rPr>
          <w:rStyle w:val="FootnoteReference"/>
          <w:rFonts w:ascii="Times New Roman" w:hAnsi="Times New Roman" w:cs="Times New Roman"/>
          <w:sz w:val="24"/>
          <w:szCs w:val="24"/>
        </w:rPr>
        <w:footnoteReference w:id="183"/>
      </w:r>
      <w:r w:rsidRPr="00403E6A">
        <w:rPr>
          <w:rFonts w:ascii="Times New Roman" w:hAnsi="Times New Roman" w:cs="Times New Roman"/>
          <w:sz w:val="24"/>
          <w:szCs w:val="24"/>
        </w:rPr>
        <w:t xml:space="preserve"> However, the plan would use the state’s power to negotiate down prices that providers charge.</w:t>
      </w:r>
      <w:r w:rsidR="00C07E82">
        <w:rPr>
          <w:rStyle w:val="FootnoteReference"/>
          <w:rFonts w:ascii="Times New Roman" w:hAnsi="Times New Roman" w:cs="Times New Roman"/>
          <w:sz w:val="24"/>
          <w:szCs w:val="24"/>
        </w:rPr>
        <w:footnoteReference w:id="184"/>
      </w:r>
      <w:r w:rsidRPr="00403E6A">
        <w:rPr>
          <w:rFonts w:ascii="Times New Roman" w:hAnsi="Times New Roman" w:cs="Times New Roman"/>
          <w:sz w:val="24"/>
          <w:szCs w:val="24"/>
        </w:rPr>
        <w:t xml:space="preserve"> Moreover, those who qualify for Medicaid in states that have not yet expanded the program under the ACA will be automatically opted into the public option, premium free</w:t>
      </w:r>
      <w:r w:rsidR="00C07E82">
        <w:rPr>
          <w:rFonts w:ascii="Times New Roman" w:hAnsi="Times New Roman" w:cs="Times New Roman"/>
          <w:sz w:val="24"/>
          <w:szCs w:val="24"/>
        </w:rPr>
        <w:t>.</w:t>
      </w:r>
      <w:r w:rsidR="00C07E82">
        <w:rPr>
          <w:rStyle w:val="FootnoteReference"/>
          <w:rFonts w:ascii="Times New Roman" w:hAnsi="Times New Roman" w:cs="Times New Roman"/>
          <w:sz w:val="24"/>
          <w:szCs w:val="24"/>
        </w:rPr>
        <w:footnoteReference w:id="185"/>
      </w:r>
    </w:p>
    <w:p w14:paraId="62FBC225" w14:textId="1969B1E0" w:rsidR="00F012AD" w:rsidRPr="00403E6A" w:rsidRDefault="00F012AD" w:rsidP="00F012AD">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t>The plan also proposes reforming the eligibility standards for those who purchase health insurance in the individual marketplace.</w:t>
      </w:r>
      <w:r w:rsidR="00E25641">
        <w:rPr>
          <w:rStyle w:val="FootnoteReference"/>
          <w:rFonts w:ascii="Times New Roman" w:hAnsi="Times New Roman" w:cs="Times New Roman"/>
          <w:sz w:val="24"/>
          <w:szCs w:val="24"/>
        </w:rPr>
        <w:footnoteReference w:id="186"/>
      </w:r>
      <w:r w:rsidRPr="00403E6A">
        <w:rPr>
          <w:rFonts w:ascii="Times New Roman" w:hAnsi="Times New Roman" w:cs="Times New Roman"/>
          <w:sz w:val="24"/>
          <w:szCs w:val="24"/>
        </w:rPr>
        <w:t xml:space="preserve"> Specifically, the plan eliminates the income eligibility threshold for those who qualify for supplemental tax credits under the ACA.</w:t>
      </w:r>
      <w:r w:rsidR="00E25641">
        <w:rPr>
          <w:rStyle w:val="FootnoteReference"/>
          <w:rFonts w:ascii="Times New Roman" w:hAnsi="Times New Roman" w:cs="Times New Roman"/>
          <w:sz w:val="24"/>
          <w:szCs w:val="24"/>
        </w:rPr>
        <w:footnoteReference w:id="187"/>
      </w:r>
      <w:r w:rsidRPr="00403E6A">
        <w:rPr>
          <w:rFonts w:ascii="Times New Roman" w:hAnsi="Times New Roman" w:cs="Times New Roman"/>
          <w:sz w:val="24"/>
          <w:szCs w:val="24"/>
        </w:rPr>
        <w:t xml:space="preserve"> Under current ACA provisions, families who make between 100% to 400% of the federal poverty line qualify for subsidies.</w:t>
      </w:r>
      <w:r w:rsidR="00415C31">
        <w:rPr>
          <w:rStyle w:val="FootnoteReference"/>
          <w:rFonts w:ascii="Times New Roman" w:hAnsi="Times New Roman" w:cs="Times New Roman"/>
          <w:sz w:val="24"/>
          <w:szCs w:val="24"/>
        </w:rPr>
        <w:footnoteReference w:id="188"/>
      </w:r>
      <w:r w:rsidRPr="00403E6A">
        <w:rPr>
          <w:rFonts w:ascii="Times New Roman" w:hAnsi="Times New Roman" w:cs="Times New Roman"/>
          <w:sz w:val="24"/>
          <w:szCs w:val="24"/>
        </w:rPr>
        <w:t xml:space="preserve"> These benchmarks are based on percent of income spent on their </w:t>
      </w:r>
      <w:r w:rsidR="00FF3DB6" w:rsidRPr="00403E6A">
        <w:rPr>
          <w:rFonts w:ascii="Times New Roman" w:hAnsi="Times New Roman" w:cs="Times New Roman"/>
          <w:sz w:val="24"/>
          <w:szCs w:val="24"/>
        </w:rPr>
        <w:t xml:space="preserve">insurance </w:t>
      </w:r>
      <w:r w:rsidRPr="00403E6A">
        <w:rPr>
          <w:rFonts w:ascii="Times New Roman" w:hAnsi="Times New Roman" w:cs="Times New Roman"/>
          <w:sz w:val="24"/>
          <w:szCs w:val="24"/>
        </w:rPr>
        <w:lastRenderedPageBreak/>
        <w:t>premiums.</w:t>
      </w:r>
      <w:r w:rsidR="00415C31">
        <w:rPr>
          <w:rStyle w:val="FootnoteReference"/>
          <w:rFonts w:ascii="Times New Roman" w:hAnsi="Times New Roman" w:cs="Times New Roman"/>
          <w:sz w:val="24"/>
          <w:szCs w:val="24"/>
        </w:rPr>
        <w:footnoteReference w:id="189"/>
      </w:r>
      <w:r w:rsidRPr="00403E6A">
        <w:rPr>
          <w:rFonts w:ascii="Times New Roman" w:hAnsi="Times New Roman" w:cs="Times New Roman"/>
          <w:sz w:val="24"/>
          <w:szCs w:val="24"/>
        </w:rPr>
        <w:t xml:space="preserve"> Under President Biden’s reforms, subsidy eligibility would be based solely on percent of family income spent on health care.</w:t>
      </w:r>
      <w:r w:rsidR="00415C31">
        <w:rPr>
          <w:rStyle w:val="FootnoteReference"/>
          <w:rFonts w:ascii="Times New Roman" w:hAnsi="Times New Roman" w:cs="Times New Roman"/>
          <w:sz w:val="24"/>
          <w:szCs w:val="24"/>
        </w:rPr>
        <w:footnoteReference w:id="190"/>
      </w:r>
      <w:r w:rsidRPr="00403E6A">
        <w:rPr>
          <w:rFonts w:ascii="Times New Roman" w:hAnsi="Times New Roman" w:cs="Times New Roman"/>
          <w:sz w:val="24"/>
          <w:szCs w:val="24"/>
        </w:rPr>
        <w:t xml:space="preserve"> The threshold would be lowered from 9.86% of income to 8.5% of income.</w:t>
      </w:r>
      <w:r w:rsidR="00415C31">
        <w:rPr>
          <w:rStyle w:val="FootnoteReference"/>
          <w:rFonts w:ascii="Times New Roman" w:hAnsi="Times New Roman" w:cs="Times New Roman"/>
          <w:sz w:val="24"/>
          <w:szCs w:val="24"/>
        </w:rPr>
        <w:footnoteReference w:id="191"/>
      </w:r>
      <w:r w:rsidRPr="00403E6A">
        <w:rPr>
          <w:rFonts w:ascii="Times New Roman" w:hAnsi="Times New Roman" w:cs="Times New Roman"/>
          <w:sz w:val="24"/>
          <w:szCs w:val="24"/>
        </w:rPr>
        <w:t xml:space="preserve"> Therefore, no family will have to spend more than 8.5% of their income on health insurance.</w:t>
      </w:r>
      <w:r w:rsidR="00415C31">
        <w:rPr>
          <w:rStyle w:val="FootnoteReference"/>
          <w:rFonts w:ascii="Times New Roman" w:hAnsi="Times New Roman" w:cs="Times New Roman"/>
          <w:sz w:val="24"/>
          <w:szCs w:val="24"/>
        </w:rPr>
        <w:footnoteReference w:id="192"/>
      </w:r>
      <w:r w:rsidRPr="00403E6A">
        <w:rPr>
          <w:rFonts w:ascii="Times New Roman" w:hAnsi="Times New Roman" w:cs="Times New Roman"/>
          <w:sz w:val="24"/>
          <w:szCs w:val="24"/>
        </w:rPr>
        <w:t xml:space="preserve"> </w:t>
      </w:r>
    </w:p>
    <w:p w14:paraId="7EC7FEEE" w14:textId="3A85C1E5" w:rsidR="00F01991" w:rsidRPr="00403E6A" w:rsidRDefault="00CC031E" w:rsidP="00F012AD">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r>
      <w:r w:rsidR="00E86EE5" w:rsidRPr="00403E6A">
        <w:rPr>
          <w:rFonts w:ascii="Times New Roman" w:hAnsi="Times New Roman" w:cs="Times New Roman"/>
          <w:sz w:val="24"/>
          <w:szCs w:val="24"/>
        </w:rPr>
        <w:t xml:space="preserve">This paper disagrees with the public option proposal because of the inevitability that </w:t>
      </w:r>
      <w:r w:rsidR="00FA6A83" w:rsidRPr="00403E6A">
        <w:rPr>
          <w:rFonts w:ascii="Times New Roman" w:hAnsi="Times New Roman" w:cs="Times New Roman"/>
          <w:sz w:val="24"/>
          <w:szCs w:val="24"/>
        </w:rPr>
        <w:t xml:space="preserve">it will lead to </w:t>
      </w:r>
      <w:r w:rsidR="00F86384" w:rsidRPr="00403E6A">
        <w:rPr>
          <w:rFonts w:ascii="Times New Roman" w:hAnsi="Times New Roman" w:cs="Times New Roman"/>
          <w:sz w:val="24"/>
          <w:szCs w:val="24"/>
        </w:rPr>
        <w:t xml:space="preserve">a </w:t>
      </w:r>
      <w:proofErr w:type="gramStart"/>
      <w:r w:rsidR="006B6D5C" w:rsidRPr="00403E6A">
        <w:rPr>
          <w:rFonts w:ascii="Times New Roman" w:hAnsi="Times New Roman" w:cs="Times New Roman"/>
          <w:sz w:val="24"/>
          <w:szCs w:val="24"/>
        </w:rPr>
        <w:t>single-payer</w:t>
      </w:r>
      <w:proofErr w:type="gramEnd"/>
      <w:r w:rsidR="006B6D5C" w:rsidRPr="00403E6A">
        <w:rPr>
          <w:rFonts w:ascii="Times New Roman" w:hAnsi="Times New Roman" w:cs="Times New Roman"/>
          <w:sz w:val="24"/>
          <w:szCs w:val="24"/>
        </w:rPr>
        <w:t xml:space="preserve"> controlled </w:t>
      </w:r>
      <w:r w:rsidR="00F86384" w:rsidRPr="00403E6A">
        <w:rPr>
          <w:rFonts w:ascii="Times New Roman" w:hAnsi="Times New Roman" w:cs="Times New Roman"/>
          <w:sz w:val="24"/>
          <w:szCs w:val="24"/>
        </w:rPr>
        <w:t xml:space="preserve">system. </w:t>
      </w:r>
      <w:r w:rsidR="00ED121C" w:rsidRPr="00403E6A">
        <w:rPr>
          <w:rFonts w:ascii="Times New Roman" w:hAnsi="Times New Roman" w:cs="Times New Roman"/>
          <w:sz w:val="24"/>
          <w:szCs w:val="24"/>
        </w:rPr>
        <w:t xml:space="preserve">If the government </w:t>
      </w:r>
      <w:r w:rsidR="00192782" w:rsidRPr="00403E6A">
        <w:rPr>
          <w:rFonts w:ascii="Times New Roman" w:hAnsi="Times New Roman" w:cs="Times New Roman"/>
          <w:sz w:val="24"/>
          <w:szCs w:val="24"/>
        </w:rPr>
        <w:t xml:space="preserve">can </w:t>
      </w:r>
      <w:r w:rsidR="00CF132E" w:rsidRPr="00403E6A">
        <w:rPr>
          <w:rFonts w:ascii="Times New Roman" w:hAnsi="Times New Roman" w:cs="Times New Roman"/>
          <w:sz w:val="24"/>
          <w:szCs w:val="24"/>
        </w:rPr>
        <w:t xml:space="preserve">set rates that undercut current price levels, </w:t>
      </w:r>
      <w:r w:rsidR="009653CE" w:rsidRPr="00403E6A">
        <w:rPr>
          <w:rFonts w:ascii="Times New Roman" w:hAnsi="Times New Roman" w:cs="Times New Roman"/>
          <w:sz w:val="24"/>
          <w:szCs w:val="24"/>
        </w:rPr>
        <w:t xml:space="preserve">that is a benefit to consumers. </w:t>
      </w:r>
      <w:r w:rsidR="004C18CA" w:rsidRPr="00403E6A">
        <w:rPr>
          <w:rFonts w:ascii="Times New Roman" w:hAnsi="Times New Roman" w:cs="Times New Roman"/>
          <w:sz w:val="24"/>
          <w:szCs w:val="24"/>
        </w:rPr>
        <w:t>However, t</w:t>
      </w:r>
      <w:r w:rsidR="009653CE" w:rsidRPr="00403E6A">
        <w:rPr>
          <w:rFonts w:ascii="Times New Roman" w:hAnsi="Times New Roman" w:cs="Times New Roman"/>
          <w:sz w:val="24"/>
          <w:szCs w:val="24"/>
        </w:rPr>
        <w:t xml:space="preserve">he concern is that </w:t>
      </w:r>
      <w:r w:rsidR="009572F7" w:rsidRPr="00403E6A">
        <w:rPr>
          <w:rFonts w:ascii="Times New Roman" w:hAnsi="Times New Roman" w:cs="Times New Roman"/>
          <w:sz w:val="24"/>
          <w:szCs w:val="24"/>
        </w:rPr>
        <w:t>th</w:t>
      </w:r>
      <w:r w:rsidR="005C0841" w:rsidRPr="00403E6A">
        <w:rPr>
          <w:rFonts w:ascii="Times New Roman" w:hAnsi="Times New Roman" w:cs="Times New Roman"/>
          <w:sz w:val="24"/>
          <w:szCs w:val="24"/>
        </w:rPr>
        <w:t>is will lead the</w:t>
      </w:r>
      <w:r w:rsidR="009572F7" w:rsidRPr="00403E6A">
        <w:rPr>
          <w:rFonts w:ascii="Times New Roman" w:hAnsi="Times New Roman" w:cs="Times New Roman"/>
          <w:sz w:val="24"/>
          <w:szCs w:val="24"/>
        </w:rPr>
        <w:t xml:space="preserve"> program </w:t>
      </w:r>
      <w:r w:rsidR="005C0841" w:rsidRPr="00403E6A">
        <w:rPr>
          <w:rFonts w:ascii="Times New Roman" w:hAnsi="Times New Roman" w:cs="Times New Roman"/>
          <w:sz w:val="24"/>
          <w:szCs w:val="24"/>
        </w:rPr>
        <w:t xml:space="preserve">to </w:t>
      </w:r>
      <w:r w:rsidR="009572F7" w:rsidRPr="00403E6A">
        <w:rPr>
          <w:rFonts w:ascii="Times New Roman" w:hAnsi="Times New Roman" w:cs="Times New Roman"/>
          <w:sz w:val="24"/>
          <w:szCs w:val="24"/>
        </w:rPr>
        <w:t xml:space="preserve">become </w:t>
      </w:r>
      <w:r w:rsidR="003700AD" w:rsidRPr="00403E6A">
        <w:rPr>
          <w:rFonts w:ascii="Times New Roman" w:hAnsi="Times New Roman" w:cs="Times New Roman"/>
          <w:sz w:val="24"/>
          <w:szCs w:val="24"/>
        </w:rPr>
        <w:t>a monopsony</w:t>
      </w:r>
      <w:r w:rsidR="004C18CA" w:rsidRPr="00403E6A">
        <w:rPr>
          <w:rFonts w:ascii="Times New Roman" w:hAnsi="Times New Roman" w:cs="Times New Roman"/>
          <w:sz w:val="24"/>
          <w:szCs w:val="24"/>
        </w:rPr>
        <w:t xml:space="preserve"> like </w:t>
      </w:r>
      <w:r w:rsidR="005C0841" w:rsidRPr="00403E6A">
        <w:rPr>
          <w:rFonts w:ascii="Times New Roman" w:hAnsi="Times New Roman" w:cs="Times New Roman"/>
          <w:sz w:val="24"/>
          <w:szCs w:val="24"/>
        </w:rPr>
        <w:t xml:space="preserve">what Senator Sanders has </w:t>
      </w:r>
      <w:r w:rsidR="00E50192" w:rsidRPr="00403E6A">
        <w:rPr>
          <w:rFonts w:ascii="Times New Roman" w:hAnsi="Times New Roman" w:cs="Times New Roman"/>
          <w:sz w:val="24"/>
          <w:szCs w:val="24"/>
        </w:rPr>
        <w:t>proposed</w:t>
      </w:r>
      <w:r w:rsidR="005C0841" w:rsidRPr="00403E6A">
        <w:rPr>
          <w:rFonts w:ascii="Times New Roman" w:hAnsi="Times New Roman" w:cs="Times New Roman"/>
          <w:sz w:val="24"/>
          <w:szCs w:val="24"/>
        </w:rPr>
        <w:t xml:space="preserve">. </w:t>
      </w:r>
      <w:r w:rsidR="009C2FE7" w:rsidRPr="00403E6A">
        <w:rPr>
          <w:rFonts w:ascii="Times New Roman" w:hAnsi="Times New Roman" w:cs="Times New Roman"/>
          <w:sz w:val="24"/>
          <w:szCs w:val="24"/>
        </w:rPr>
        <w:t>Jonathan Gruber, the Massachusetts Institute of Technology economist who designed the ACA, reported that when government insurance expands, six people go off private insurance for every ten people who go on public insurance.</w:t>
      </w:r>
      <w:r w:rsidR="00E773F9">
        <w:rPr>
          <w:rStyle w:val="FootnoteReference"/>
          <w:rFonts w:ascii="Times New Roman" w:hAnsi="Times New Roman" w:cs="Times New Roman"/>
          <w:sz w:val="24"/>
          <w:szCs w:val="24"/>
        </w:rPr>
        <w:footnoteReference w:id="193"/>
      </w:r>
      <w:r w:rsidR="009C2FE7" w:rsidRPr="00403E6A">
        <w:rPr>
          <w:rFonts w:ascii="Times New Roman" w:hAnsi="Times New Roman" w:cs="Times New Roman"/>
          <w:sz w:val="24"/>
          <w:szCs w:val="24"/>
        </w:rPr>
        <w:t xml:space="preserve"> </w:t>
      </w:r>
      <w:r w:rsidR="00AE47E0" w:rsidRPr="00403E6A">
        <w:rPr>
          <w:rFonts w:ascii="Times New Roman" w:hAnsi="Times New Roman" w:cs="Times New Roman"/>
          <w:sz w:val="24"/>
          <w:szCs w:val="24"/>
        </w:rPr>
        <w:t>As discussed</w:t>
      </w:r>
      <w:r w:rsidR="0026412D" w:rsidRPr="00403E6A">
        <w:rPr>
          <w:rFonts w:ascii="Times New Roman" w:hAnsi="Times New Roman" w:cs="Times New Roman"/>
          <w:sz w:val="24"/>
          <w:szCs w:val="24"/>
        </w:rPr>
        <w:t xml:space="preserve"> above</w:t>
      </w:r>
      <w:r w:rsidR="00DA48AB" w:rsidRPr="00403E6A">
        <w:rPr>
          <w:rFonts w:ascii="Times New Roman" w:hAnsi="Times New Roman" w:cs="Times New Roman"/>
          <w:sz w:val="24"/>
          <w:szCs w:val="24"/>
        </w:rPr>
        <w:t>, lowering the price of services provided at the expense of quality</w:t>
      </w:r>
      <w:r w:rsidR="00F906F8" w:rsidRPr="00403E6A">
        <w:rPr>
          <w:rFonts w:ascii="Times New Roman" w:hAnsi="Times New Roman" w:cs="Times New Roman"/>
          <w:sz w:val="24"/>
          <w:szCs w:val="24"/>
        </w:rPr>
        <w:t xml:space="preserve"> will only create a new set of problems</w:t>
      </w:r>
      <w:r w:rsidR="009F14CE" w:rsidRPr="00403E6A">
        <w:rPr>
          <w:rFonts w:ascii="Times New Roman" w:hAnsi="Times New Roman" w:cs="Times New Roman"/>
          <w:sz w:val="24"/>
          <w:szCs w:val="24"/>
        </w:rPr>
        <w:t xml:space="preserve"> for consumers and the system writ large</w:t>
      </w:r>
      <w:r w:rsidR="00F906F8" w:rsidRPr="00403E6A">
        <w:rPr>
          <w:rFonts w:ascii="Times New Roman" w:hAnsi="Times New Roman" w:cs="Times New Roman"/>
          <w:sz w:val="24"/>
          <w:szCs w:val="24"/>
        </w:rPr>
        <w:t>.</w:t>
      </w:r>
      <w:r w:rsidR="009F14CE" w:rsidRPr="00403E6A">
        <w:rPr>
          <w:rFonts w:ascii="Times New Roman" w:hAnsi="Times New Roman" w:cs="Times New Roman"/>
          <w:sz w:val="24"/>
          <w:szCs w:val="24"/>
        </w:rPr>
        <w:t xml:space="preserve"> </w:t>
      </w:r>
      <w:r w:rsidR="00806229" w:rsidRPr="00403E6A">
        <w:rPr>
          <w:rFonts w:ascii="Times New Roman" w:hAnsi="Times New Roman" w:cs="Times New Roman"/>
          <w:sz w:val="24"/>
          <w:szCs w:val="24"/>
        </w:rPr>
        <w:t>However</w:t>
      </w:r>
      <w:r w:rsidR="006A2726" w:rsidRPr="00403E6A">
        <w:rPr>
          <w:rFonts w:ascii="Times New Roman" w:hAnsi="Times New Roman" w:cs="Times New Roman"/>
          <w:sz w:val="24"/>
          <w:szCs w:val="24"/>
        </w:rPr>
        <w:t xml:space="preserve">, </w:t>
      </w:r>
      <w:r w:rsidR="001E52E9" w:rsidRPr="00403E6A">
        <w:rPr>
          <w:rFonts w:ascii="Times New Roman" w:hAnsi="Times New Roman" w:cs="Times New Roman"/>
          <w:sz w:val="24"/>
          <w:szCs w:val="24"/>
        </w:rPr>
        <w:t xml:space="preserve">the public option would likely </w:t>
      </w:r>
      <w:r w:rsidR="00DB788C" w:rsidRPr="00403E6A">
        <w:rPr>
          <w:rFonts w:ascii="Times New Roman" w:hAnsi="Times New Roman" w:cs="Times New Roman"/>
          <w:sz w:val="24"/>
          <w:szCs w:val="24"/>
        </w:rPr>
        <w:t xml:space="preserve">require </w:t>
      </w:r>
      <w:r w:rsidR="001E52E9" w:rsidRPr="00403E6A">
        <w:rPr>
          <w:rFonts w:ascii="Times New Roman" w:hAnsi="Times New Roman" w:cs="Times New Roman"/>
          <w:sz w:val="24"/>
          <w:szCs w:val="24"/>
        </w:rPr>
        <w:t xml:space="preserve">cost-sharing mechanisms, </w:t>
      </w:r>
      <w:r w:rsidR="00806229" w:rsidRPr="00403E6A">
        <w:rPr>
          <w:rFonts w:ascii="Times New Roman" w:hAnsi="Times New Roman" w:cs="Times New Roman"/>
          <w:sz w:val="24"/>
          <w:szCs w:val="24"/>
        </w:rPr>
        <w:t xml:space="preserve">which would limit the perverse effects </w:t>
      </w:r>
      <w:r w:rsidR="007E2AAA" w:rsidRPr="00403E6A">
        <w:rPr>
          <w:rFonts w:ascii="Times New Roman" w:hAnsi="Times New Roman" w:cs="Times New Roman"/>
          <w:sz w:val="24"/>
          <w:szCs w:val="24"/>
        </w:rPr>
        <w:t xml:space="preserve">that the Sanders proposal would </w:t>
      </w:r>
      <w:r w:rsidR="00FD5D4E" w:rsidRPr="00403E6A">
        <w:rPr>
          <w:rFonts w:ascii="Times New Roman" w:hAnsi="Times New Roman" w:cs="Times New Roman"/>
          <w:sz w:val="24"/>
          <w:szCs w:val="24"/>
        </w:rPr>
        <w:t xml:space="preserve">entail. </w:t>
      </w:r>
    </w:p>
    <w:p w14:paraId="5579FFB1" w14:textId="01C808F2" w:rsidR="00676038" w:rsidRPr="00403E6A" w:rsidRDefault="00496C9E" w:rsidP="00676038">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t xml:space="preserve">Additionally, </w:t>
      </w:r>
      <w:r w:rsidR="00E907EE" w:rsidRPr="00403E6A">
        <w:rPr>
          <w:rFonts w:ascii="Times New Roman" w:hAnsi="Times New Roman" w:cs="Times New Roman"/>
          <w:sz w:val="24"/>
          <w:szCs w:val="24"/>
        </w:rPr>
        <w:t xml:space="preserve">the </w:t>
      </w:r>
      <w:r w:rsidR="0085746C" w:rsidRPr="00403E6A">
        <w:rPr>
          <w:rFonts w:ascii="Times New Roman" w:hAnsi="Times New Roman" w:cs="Times New Roman"/>
          <w:sz w:val="24"/>
          <w:szCs w:val="24"/>
        </w:rPr>
        <w:t xml:space="preserve">plan </w:t>
      </w:r>
      <w:r w:rsidR="00AC6837" w:rsidRPr="00403E6A">
        <w:rPr>
          <w:rFonts w:ascii="Times New Roman" w:hAnsi="Times New Roman" w:cs="Times New Roman"/>
          <w:sz w:val="24"/>
          <w:szCs w:val="24"/>
        </w:rPr>
        <w:t>to extend subsid</w:t>
      </w:r>
      <w:r w:rsidR="00D3379D" w:rsidRPr="00403E6A">
        <w:rPr>
          <w:rFonts w:ascii="Times New Roman" w:hAnsi="Times New Roman" w:cs="Times New Roman"/>
          <w:sz w:val="24"/>
          <w:szCs w:val="24"/>
        </w:rPr>
        <w:t>y eligibility is a metaphorical dog-chasing-tail scenario</w:t>
      </w:r>
      <w:r w:rsidR="00845D64" w:rsidRPr="00403E6A">
        <w:rPr>
          <w:rFonts w:ascii="Times New Roman" w:hAnsi="Times New Roman" w:cs="Times New Roman"/>
          <w:sz w:val="24"/>
          <w:szCs w:val="24"/>
        </w:rPr>
        <w:t>.</w:t>
      </w:r>
      <w:r w:rsidR="00D3379D" w:rsidRPr="00403E6A">
        <w:rPr>
          <w:rFonts w:ascii="Times New Roman" w:hAnsi="Times New Roman" w:cs="Times New Roman"/>
          <w:sz w:val="24"/>
          <w:szCs w:val="24"/>
        </w:rPr>
        <w:t xml:space="preserve"> </w:t>
      </w:r>
      <w:r w:rsidR="00845D64" w:rsidRPr="00403E6A">
        <w:rPr>
          <w:rFonts w:ascii="Times New Roman" w:hAnsi="Times New Roman" w:cs="Times New Roman"/>
          <w:sz w:val="24"/>
          <w:szCs w:val="24"/>
        </w:rPr>
        <w:t xml:space="preserve">These </w:t>
      </w:r>
      <w:r w:rsidR="00D3379D" w:rsidRPr="00403E6A">
        <w:rPr>
          <w:rFonts w:ascii="Times New Roman" w:hAnsi="Times New Roman" w:cs="Times New Roman"/>
          <w:sz w:val="24"/>
          <w:szCs w:val="24"/>
        </w:rPr>
        <w:t xml:space="preserve">broadened eligibility requirements </w:t>
      </w:r>
      <w:r w:rsidR="00845D64" w:rsidRPr="00403E6A">
        <w:rPr>
          <w:rFonts w:ascii="Times New Roman" w:hAnsi="Times New Roman" w:cs="Times New Roman"/>
          <w:sz w:val="24"/>
          <w:szCs w:val="24"/>
        </w:rPr>
        <w:t>continue to try to catch the runaway cost</w:t>
      </w:r>
      <w:r w:rsidR="00AB3BEA" w:rsidRPr="00403E6A">
        <w:rPr>
          <w:rFonts w:ascii="Times New Roman" w:hAnsi="Times New Roman" w:cs="Times New Roman"/>
          <w:sz w:val="24"/>
          <w:szCs w:val="24"/>
        </w:rPr>
        <w:t>s</w:t>
      </w:r>
      <w:r w:rsidR="00845D64" w:rsidRPr="00403E6A">
        <w:rPr>
          <w:rFonts w:ascii="Times New Roman" w:hAnsi="Times New Roman" w:cs="Times New Roman"/>
          <w:sz w:val="24"/>
          <w:szCs w:val="24"/>
        </w:rPr>
        <w:t xml:space="preserve"> of healthcare </w:t>
      </w:r>
      <w:r w:rsidR="00EA78A9" w:rsidRPr="00403E6A">
        <w:rPr>
          <w:rFonts w:ascii="Times New Roman" w:hAnsi="Times New Roman" w:cs="Times New Roman"/>
          <w:sz w:val="24"/>
          <w:szCs w:val="24"/>
        </w:rPr>
        <w:t xml:space="preserve">as those who purchase insurance on the individual marketplace </w:t>
      </w:r>
      <w:r w:rsidR="00110513" w:rsidRPr="00403E6A">
        <w:rPr>
          <w:rFonts w:ascii="Times New Roman" w:hAnsi="Times New Roman" w:cs="Times New Roman"/>
          <w:sz w:val="24"/>
          <w:szCs w:val="24"/>
        </w:rPr>
        <w:t xml:space="preserve">struggle </w:t>
      </w:r>
      <w:r w:rsidR="00B37836" w:rsidRPr="00403E6A">
        <w:rPr>
          <w:rFonts w:ascii="Times New Roman" w:hAnsi="Times New Roman" w:cs="Times New Roman"/>
          <w:sz w:val="24"/>
          <w:szCs w:val="24"/>
        </w:rPr>
        <w:t xml:space="preserve">to afford comprehensive coverage. </w:t>
      </w:r>
      <w:r w:rsidR="00B805E6" w:rsidRPr="00403E6A">
        <w:rPr>
          <w:rFonts w:ascii="Times New Roman" w:hAnsi="Times New Roman" w:cs="Times New Roman"/>
          <w:sz w:val="24"/>
          <w:szCs w:val="24"/>
        </w:rPr>
        <w:t xml:space="preserve">Although </w:t>
      </w:r>
      <w:r w:rsidR="00CA6FB4" w:rsidRPr="00403E6A">
        <w:rPr>
          <w:rFonts w:ascii="Times New Roman" w:hAnsi="Times New Roman" w:cs="Times New Roman"/>
          <w:sz w:val="24"/>
          <w:szCs w:val="24"/>
        </w:rPr>
        <w:t>it is</w:t>
      </w:r>
      <w:r w:rsidR="00B805E6" w:rsidRPr="00403E6A">
        <w:rPr>
          <w:rFonts w:ascii="Times New Roman" w:hAnsi="Times New Roman" w:cs="Times New Roman"/>
          <w:sz w:val="24"/>
          <w:szCs w:val="24"/>
        </w:rPr>
        <w:t xml:space="preserve"> understand</w:t>
      </w:r>
      <w:r w:rsidR="00CA6FB4" w:rsidRPr="00403E6A">
        <w:rPr>
          <w:rFonts w:ascii="Times New Roman" w:hAnsi="Times New Roman" w:cs="Times New Roman"/>
          <w:sz w:val="24"/>
          <w:szCs w:val="24"/>
        </w:rPr>
        <w:t>able</w:t>
      </w:r>
      <w:r w:rsidR="00B805E6" w:rsidRPr="00403E6A">
        <w:rPr>
          <w:rFonts w:ascii="Times New Roman" w:hAnsi="Times New Roman" w:cs="Times New Roman"/>
          <w:sz w:val="24"/>
          <w:szCs w:val="24"/>
        </w:rPr>
        <w:t xml:space="preserve"> that the </w:t>
      </w:r>
      <w:r w:rsidR="003478B4" w:rsidRPr="00403E6A">
        <w:rPr>
          <w:rFonts w:ascii="Times New Roman" w:hAnsi="Times New Roman" w:cs="Times New Roman"/>
          <w:sz w:val="24"/>
          <w:szCs w:val="24"/>
        </w:rPr>
        <w:t>price</w:t>
      </w:r>
      <w:r w:rsidR="00B805E6" w:rsidRPr="00403E6A">
        <w:rPr>
          <w:rFonts w:ascii="Times New Roman" w:hAnsi="Times New Roman" w:cs="Times New Roman"/>
          <w:sz w:val="24"/>
          <w:szCs w:val="24"/>
        </w:rPr>
        <w:t xml:space="preserve"> issue is incredibly difficult to solve, simply throwing more money at the problem is a short-term fix for a long-term </w:t>
      </w:r>
      <w:r w:rsidR="00B805E6" w:rsidRPr="00403E6A">
        <w:rPr>
          <w:rFonts w:ascii="Times New Roman" w:hAnsi="Times New Roman" w:cs="Times New Roman"/>
          <w:sz w:val="24"/>
          <w:szCs w:val="24"/>
        </w:rPr>
        <w:lastRenderedPageBreak/>
        <w:t>problem</w:t>
      </w:r>
      <w:r w:rsidR="00232DD2" w:rsidRPr="00403E6A">
        <w:rPr>
          <w:rFonts w:ascii="Times New Roman" w:hAnsi="Times New Roman" w:cs="Times New Roman"/>
          <w:sz w:val="24"/>
          <w:szCs w:val="24"/>
        </w:rPr>
        <w:t xml:space="preserve">. It is important to help Americans </w:t>
      </w:r>
      <w:r w:rsidR="002B2A45" w:rsidRPr="00403E6A">
        <w:rPr>
          <w:rFonts w:ascii="Times New Roman" w:hAnsi="Times New Roman" w:cs="Times New Roman"/>
          <w:sz w:val="24"/>
          <w:szCs w:val="24"/>
        </w:rPr>
        <w:t xml:space="preserve">pay for their health care expenses, </w:t>
      </w:r>
      <w:r w:rsidR="00372426" w:rsidRPr="00403E6A">
        <w:rPr>
          <w:rFonts w:ascii="Times New Roman" w:hAnsi="Times New Roman" w:cs="Times New Roman"/>
          <w:sz w:val="24"/>
          <w:szCs w:val="24"/>
        </w:rPr>
        <w:t xml:space="preserve">but </w:t>
      </w:r>
      <w:r w:rsidR="00CA6FB4" w:rsidRPr="00403E6A">
        <w:rPr>
          <w:rFonts w:ascii="Times New Roman" w:hAnsi="Times New Roman" w:cs="Times New Roman"/>
          <w:sz w:val="24"/>
          <w:szCs w:val="24"/>
        </w:rPr>
        <w:t xml:space="preserve">if it happens at the expense of taxpayers, </w:t>
      </w:r>
      <w:r w:rsidR="00BF5A50" w:rsidRPr="00403E6A">
        <w:rPr>
          <w:rFonts w:ascii="Times New Roman" w:hAnsi="Times New Roman" w:cs="Times New Roman"/>
          <w:sz w:val="24"/>
          <w:szCs w:val="24"/>
        </w:rPr>
        <w:t xml:space="preserve">this becomes counterintuitive. </w:t>
      </w:r>
      <w:r w:rsidR="00FE51EF" w:rsidRPr="00403E6A">
        <w:rPr>
          <w:rFonts w:ascii="Times New Roman" w:hAnsi="Times New Roman" w:cs="Times New Roman"/>
          <w:sz w:val="24"/>
          <w:szCs w:val="24"/>
        </w:rPr>
        <w:t xml:space="preserve">Unfortunately, these incremental reforms mostly preserve a fundamentally broken system. </w:t>
      </w:r>
      <w:r w:rsidR="00AB3F0D" w:rsidRPr="00403E6A">
        <w:rPr>
          <w:rFonts w:ascii="Times New Roman" w:hAnsi="Times New Roman" w:cs="Times New Roman"/>
          <w:sz w:val="24"/>
          <w:szCs w:val="24"/>
        </w:rPr>
        <w:t xml:space="preserve">Despite this, </w:t>
      </w:r>
      <w:r w:rsidR="00804D3F" w:rsidRPr="00403E6A">
        <w:rPr>
          <w:rFonts w:ascii="Times New Roman" w:hAnsi="Times New Roman" w:cs="Times New Roman"/>
          <w:sz w:val="24"/>
          <w:szCs w:val="24"/>
        </w:rPr>
        <w:t xml:space="preserve">President Biden’s plan to </w:t>
      </w:r>
      <w:r w:rsidR="00AB3F0D" w:rsidRPr="00403E6A">
        <w:rPr>
          <w:rFonts w:ascii="Times New Roman" w:hAnsi="Times New Roman" w:cs="Times New Roman"/>
          <w:sz w:val="24"/>
          <w:szCs w:val="24"/>
        </w:rPr>
        <w:t xml:space="preserve">utilize aggressive antitrust measures </w:t>
      </w:r>
      <w:r w:rsidR="008723BC" w:rsidRPr="00403E6A">
        <w:rPr>
          <w:rFonts w:ascii="Times New Roman" w:hAnsi="Times New Roman" w:cs="Times New Roman"/>
          <w:sz w:val="24"/>
          <w:szCs w:val="24"/>
        </w:rPr>
        <w:t xml:space="preserve">to combat concentration in the provider market </w:t>
      </w:r>
      <w:r w:rsidR="00716E5E">
        <w:rPr>
          <w:rStyle w:val="FootnoteReference"/>
          <w:rFonts w:ascii="Times New Roman" w:hAnsi="Times New Roman" w:cs="Times New Roman"/>
          <w:sz w:val="24"/>
          <w:szCs w:val="24"/>
        </w:rPr>
        <w:footnoteReference w:id="194"/>
      </w:r>
      <w:r w:rsidR="00716E5E">
        <w:rPr>
          <w:rFonts w:ascii="Times New Roman" w:hAnsi="Times New Roman" w:cs="Times New Roman"/>
          <w:sz w:val="24"/>
          <w:szCs w:val="24"/>
        </w:rPr>
        <w:t xml:space="preserve"> </w:t>
      </w:r>
      <w:r w:rsidR="00AB3F0D" w:rsidRPr="00403E6A">
        <w:rPr>
          <w:rFonts w:ascii="Times New Roman" w:hAnsi="Times New Roman" w:cs="Times New Roman"/>
          <w:sz w:val="24"/>
          <w:szCs w:val="24"/>
        </w:rPr>
        <w:t xml:space="preserve">is a welcome development. </w:t>
      </w:r>
    </w:p>
    <w:p w14:paraId="27320CDC" w14:textId="554083D6" w:rsidR="003E6B7F" w:rsidRPr="00403E6A" w:rsidRDefault="006A518E" w:rsidP="00236AFF">
      <w:pPr>
        <w:pStyle w:val="ListParagraph"/>
        <w:numPr>
          <w:ilvl w:val="0"/>
          <w:numId w:val="6"/>
        </w:numPr>
        <w:spacing w:after="0" w:line="480" w:lineRule="auto"/>
        <w:rPr>
          <w:rFonts w:ascii="Times New Roman" w:hAnsi="Times New Roman" w:cs="Times New Roman"/>
          <w:sz w:val="24"/>
          <w:szCs w:val="24"/>
          <w:u w:val="single"/>
        </w:rPr>
      </w:pPr>
      <w:r w:rsidRPr="00403E6A">
        <w:rPr>
          <w:rFonts w:ascii="Times New Roman" w:hAnsi="Times New Roman" w:cs="Times New Roman"/>
          <w:sz w:val="24"/>
          <w:szCs w:val="24"/>
          <w:u w:val="single"/>
        </w:rPr>
        <w:t>Say Their Name</w:t>
      </w:r>
      <w:r w:rsidR="00664E2A" w:rsidRPr="00403E6A">
        <w:rPr>
          <w:rFonts w:ascii="Times New Roman" w:hAnsi="Times New Roman" w:cs="Times New Roman"/>
          <w:sz w:val="24"/>
          <w:szCs w:val="24"/>
          <w:u w:val="single"/>
        </w:rPr>
        <w:t>s</w:t>
      </w:r>
      <w:r w:rsidRPr="00403E6A">
        <w:rPr>
          <w:rFonts w:ascii="Times New Roman" w:hAnsi="Times New Roman" w:cs="Times New Roman"/>
          <w:sz w:val="24"/>
          <w:szCs w:val="24"/>
          <w:u w:val="single"/>
        </w:rPr>
        <w:t>: Provider Monopolies are Utilities</w:t>
      </w:r>
      <w:r w:rsidR="0049419D" w:rsidRPr="00403E6A">
        <w:rPr>
          <w:rFonts w:ascii="Times New Roman" w:hAnsi="Times New Roman" w:cs="Times New Roman"/>
          <w:sz w:val="24"/>
          <w:szCs w:val="24"/>
          <w:u w:val="single"/>
        </w:rPr>
        <w:t xml:space="preserve"> </w:t>
      </w:r>
    </w:p>
    <w:p w14:paraId="4D79A062" w14:textId="3E513149" w:rsidR="00196526" w:rsidRPr="00403E6A" w:rsidRDefault="00E253D7" w:rsidP="0000524C">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r>
      <w:r w:rsidR="00231CF9" w:rsidRPr="00403E6A">
        <w:rPr>
          <w:rFonts w:ascii="Times New Roman" w:hAnsi="Times New Roman" w:cs="Times New Roman"/>
          <w:sz w:val="24"/>
          <w:szCs w:val="24"/>
        </w:rPr>
        <w:t xml:space="preserve">Avik Roy, former </w:t>
      </w:r>
      <w:r w:rsidR="00556236" w:rsidRPr="00403E6A">
        <w:rPr>
          <w:rFonts w:ascii="Times New Roman" w:hAnsi="Times New Roman" w:cs="Times New Roman"/>
          <w:sz w:val="24"/>
          <w:szCs w:val="24"/>
        </w:rPr>
        <w:t xml:space="preserve">healthcare </w:t>
      </w:r>
      <w:r w:rsidR="00231CF9" w:rsidRPr="00403E6A">
        <w:rPr>
          <w:rFonts w:ascii="Times New Roman" w:hAnsi="Times New Roman" w:cs="Times New Roman"/>
          <w:sz w:val="24"/>
          <w:szCs w:val="24"/>
        </w:rPr>
        <w:t xml:space="preserve">advisor to both Mitt Romney and Marco Rubio’s presidential campaigns, </w:t>
      </w:r>
      <w:r w:rsidR="009D073D" w:rsidRPr="00403E6A">
        <w:rPr>
          <w:rFonts w:ascii="Times New Roman" w:hAnsi="Times New Roman" w:cs="Times New Roman"/>
          <w:sz w:val="24"/>
          <w:szCs w:val="24"/>
        </w:rPr>
        <w:t>has proposed a</w:t>
      </w:r>
      <w:r w:rsidR="00EA01E2" w:rsidRPr="00403E6A">
        <w:rPr>
          <w:rFonts w:ascii="Times New Roman" w:hAnsi="Times New Roman" w:cs="Times New Roman"/>
          <w:sz w:val="24"/>
          <w:szCs w:val="24"/>
        </w:rPr>
        <w:t xml:space="preserve">ggressive measures to tackle the concentrated provider market. </w:t>
      </w:r>
      <w:r w:rsidR="00812A59" w:rsidRPr="00403E6A">
        <w:rPr>
          <w:rFonts w:ascii="Times New Roman" w:hAnsi="Times New Roman" w:cs="Times New Roman"/>
          <w:sz w:val="24"/>
          <w:szCs w:val="24"/>
        </w:rPr>
        <w:t xml:space="preserve">These </w:t>
      </w:r>
      <w:r w:rsidR="005B613A" w:rsidRPr="00403E6A">
        <w:rPr>
          <w:rFonts w:ascii="Times New Roman" w:hAnsi="Times New Roman" w:cs="Times New Roman"/>
          <w:sz w:val="24"/>
          <w:szCs w:val="24"/>
        </w:rPr>
        <w:t xml:space="preserve">reforms </w:t>
      </w:r>
      <w:r w:rsidR="00812A59" w:rsidRPr="00403E6A">
        <w:rPr>
          <w:rFonts w:ascii="Times New Roman" w:hAnsi="Times New Roman" w:cs="Times New Roman"/>
          <w:sz w:val="24"/>
          <w:szCs w:val="24"/>
        </w:rPr>
        <w:t>would increase supply-side competition and lower prices charge</w:t>
      </w:r>
      <w:r w:rsidR="003E4412">
        <w:rPr>
          <w:rFonts w:ascii="Times New Roman" w:hAnsi="Times New Roman" w:cs="Times New Roman"/>
          <w:sz w:val="24"/>
          <w:szCs w:val="24"/>
        </w:rPr>
        <w:t>d</w:t>
      </w:r>
      <w:r w:rsidR="00812A59" w:rsidRPr="00403E6A">
        <w:rPr>
          <w:rFonts w:ascii="Times New Roman" w:hAnsi="Times New Roman" w:cs="Times New Roman"/>
          <w:sz w:val="24"/>
          <w:szCs w:val="24"/>
        </w:rPr>
        <w:t xml:space="preserve"> to those insured under private insurance plans. </w:t>
      </w:r>
      <w:r w:rsidR="00DE0BAB" w:rsidRPr="00403E6A">
        <w:rPr>
          <w:rFonts w:ascii="Times New Roman" w:hAnsi="Times New Roman" w:cs="Times New Roman"/>
          <w:sz w:val="24"/>
          <w:szCs w:val="24"/>
        </w:rPr>
        <w:t xml:space="preserve">The foundation of Roy’s proposal is </w:t>
      </w:r>
      <w:r w:rsidR="00EB6D91" w:rsidRPr="00403E6A">
        <w:rPr>
          <w:rFonts w:ascii="Times New Roman" w:hAnsi="Times New Roman" w:cs="Times New Roman"/>
          <w:sz w:val="24"/>
          <w:szCs w:val="24"/>
        </w:rPr>
        <w:t>Medicare Advantage for All</w:t>
      </w:r>
      <w:r w:rsidR="001E0A61">
        <w:rPr>
          <w:rStyle w:val="FootnoteReference"/>
          <w:rFonts w:ascii="Times New Roman" w:hAnsi="Times New Roman" w:cs="Times New Roman"/>
          <w:sz w:val="24"/>
          <w:szCs w:val="24"/>
        </w:rPr>
        <w:footnoteReference w:id="195"/>
      </w:r>
      <w:r w:rsidR="00EB6D91" w:rsidRPr="00403E6A">
        <w:rPr>
          <w:rFonts w:ascii="Times New Roman" w:hAnsi="Times New Roman" w:cs="Times New Roman"/>
          <w:sz w:val="24"/>
          <w:szCs w:val="24"/>
        </w:rPr>
        <w:t>, which</w:t>
      </w:r>
      <w:r w:rsidR="00FD7601" w:rsidRPr="00403E6A">
        <w:rPr>
          <w:rFonts w:ascii="Times New Roman" w:hAnsi="Times New Roman" w:cs="Times New Roman"/>
          <w:sz w:val="24"/>
          <w:szCs w:val="24"/>
        </w:rPr>
        <w:t xml:space="preserve"> this paper does not go into in full </w:t>
      </w:r>
      <w:proofErr w:type="gramStart"/>
      <w:r w:rsidR="00FD7601" w:rsidRPr="00403E6A">
        <w:rPr>
          <w:rFonts w:ascii="Times New Roman" w:hAnsi="Times New Roman" w:cs="Times New Roman"/>
          <w:sz w:val="24"/>
          <w:szCs w:val="24"/>
        </w:rPr>
        <w:t>detail</w:t>
      </w:r>
      <w:r w:rsidR="006C5DF2">
        <w:rPr>
          <w:rFonts w:ascii="Times New Roman" w:hAnsi="Times New Roman" w:cs="Times New Roman"/>
          <w:sz w:val="24"/>
          <w:szCs w:val="24"/>
        </w:rPr>
        <w:t>,</w:t>
      </w:r>
      <w:r w:rsidR="00FD7601" w:rsidRPr="00403E6A">
        <w:rPr>
          <w:rFonts w:ascii="Times New Roman" w:hAnsi="Times New Roman" w:cs="Times New Roman"/>
          <w:sz w:val="24"/>
          <w:szCs w:val="24"/>
        </w:rPr>
        <w:t xml:space="preserve"> but</w:t>
      </w:r>
      <w:proofErr w:type="gramEnd"/>
      <w:r w:rsidR="00EB6D91" w:rsidRPr="00403E6A">
        <w:rPr>
          <w:rFonts w:ascii="Times New Roman" w:hAnsi="Times New Roman" w:cs="Times New Roman"/>
          <w:sz w:val="24"/>
          <w:szCs w:val="24"/>
        </w:rPr>
        <w:t xml:space="preserve"> will be cited to throughout this section. </w:t>
      </w:r>
      <w:r w:rsidR="00F93A1F" w:rsidRPr="00403E6A">
        <w:rPr>
          <w:rFonts w:ascii="Times New Roman" w:hAnsi="Times New Roman" w:cs="Times New Roman"/>
          <w:sz w:val="24"/>
          <w:szCs w:val="24"/>
        </w:rPr>
        <w:t>Medicare Advantage for All</w:t>
      </w:r>
      <w:r w:rsidR="0031392E" w:rsidRPr="00403E6A">
        <w:rPr>
          <w:rFonts w:ascii="Times New Roman" w:hAnsi="Times New Roman" w:cs="Times New Roman"/>
          <w:sz w:val="24"/>
          <w:szCs w:val="24"/>
        </w:rPr>
        <w:t xml:space="preserve"> would</w:t>
      </w:r>
      <w:r w:rsidR="00F93A1F" w:rsidRPr="00403E6A">
        <w:rPr>
          <w:rFonts w:ascii="Times New Roman" w:hAnsi="Times New Roman" w:cs="Times New Roman"/>
          <w:sz w:val="24"/>
          <w:szCs w:val="24"/>
        </w:rPr>
        <w:t xml:space="preserve"> evolve the health care system in </w:t>
      </w:r>
      <w:r w:rsidR="00AA5D31" w:rsidRPr="00403E6A">
        <w:rPr>
          <w:rFonts w:ascii="Times New Roman" w:hAnsi="Times New Roman" w:cs="Times New Roman"/>
          <w:sz w:val="24"/>
          <w:szCs w:val="24"/>
        </w:rPr>
        <w:t xml:space="preserve">a </w:t>
      </w:r>
      <w:r w:rsidR="00F93A1F" w:rsidRPr="00403E6A">
        <w:rPr>
          <w:rFonts w:ascii="Times New Roman" w:hAnsi="Times New Roman" w:cs="Times New Roman"/>
          <w:sz w:val="24"/>
          <w:szCs w:val="24"/>
        </w:rPr>
        <w:t>direction</w:t>
      </w:r>
      <w:r w:rsidR="00AA5D31" w:rsidRPr="00403E6A">
        <w:rPr>
          <w:rFonts w:ascii="Times New Roman" w:hAnsi="Times New Roman" w:cs="Times New Roman"/>
          <w:sz w:val="24"/>
          <w:szCs w:val="24"/>
        </w:rPr>
        <w:t xml:space="preserve"> that </w:t>
      </w:r>
      <w:r w:rsidR="00F93A1F" w:rsidRPr="00403E6A">
        <w:rPr>
          <w:rFonts w:ascii="Times New Roman" w:hAnsi="Times New Roman" w:cs="Times New Roman"/>
          <w:sz w:val="24"/>
          <w:szCs w:val="24"/>
        </w:rPr>
        <w:t>enabl</w:t>
      </w:r>
      <w:r w:rsidR="00AA5D31" w:rsidRPr="00403E6A">
        <w:rPr>
          <w:rFonts w:ascii="Times New Roman" w:hAnsi="Times New Roman" w:cs="Times New Roman"/>
          <w:sz w:val="24"/>
          <w:szCs w:val="24"/>
        </w:rPr>
        <w:t>es</w:t>
      </w:r>
      <w:r w:rsidR="00F93A1F" w:rsidRPr="00403E6A">
        <w:rPr>
          <w:rFonts w:ascii="Times New Roman" w:hAnsi="Times New Roman" w:cs="Times New Roman"/>
          <w:sz w:val="24"/>
          <w:szCs w:val="24"/>
        </w:rPr>
        <w:t xml:space="preserve"> more Americans to choose among a wide variety of insurance plans that suit their needs, </w:t>
      </w:r>
      <w:r w:rsidR="00EC7518" w:rsidRPr="00403E6A">
        <w:rPr>
          <w:rFonts w:ascii="Times New Roman" w:hAnsi="Times New Roman" w:cs="Times New Roman"/>
          <w:sz w:val="24"/>
          <w:szCs w:val="24"/>
        </w:rPr>
        <w:t>like how those</w:t>
      </w:r>
      <w:r w:rsidR="00F93A1F" w:rsidRPr="00403E6A">
        <w:rPr>
          <w:rFonts w:ascii="Times New Roman" w:hAnsi="Times New Roman" w:cs="Times New Roman"/>
          <w:sz w:val="24"/>
          <w:szCs w:val="24"/>
        </w:rPr>
        <w:t xml:space="preserve"> enrolled in Medicare Advantage can today</w:t>
      </w:r>
      <w:r w:rsidR="00AA5D31" w:rsidRPr="00403E6A">
        <w:rPr>
          <w:rFonts w:ascii="Times New Roman" w:hAnsi="Times New Roman" w:cs="Times New Roman"/>
          <w:sz w:val="24"/>
          <w:szCs w:val="24"/>
        </w:rPr>
        <w:t>.</w:t>
      </w:r>
      <w:r w:rsidR="0072120C">
        <w:rPr>
          <w:rStyle w:val="FootnoteReference"/>
          <w:rFonts w:ascii="Times New Roman" w:hAnsi="Times New Roman" w:cs="Times New Roman"/>
          <w:sz w:val="24"/>
          <w:szCs w:val="24"/>
        </w:rPr>
        <w:footnoteReference w:id="196"/>
      </w:r>
      <w:r w:rsidR="00AA5D31" w:rsidRPr="00403E6A">
        <w:rPr>
          <w:rFonts w:ascii="Times New Roman" w:hAnsi="Times New Roman" w:cs="Times New Roman"/>
          <w:sz w:val="24"/>
          <w:szCs w:val="24"/>
        </w:rPr>
        <w:t xml:space="preserve"> </w:t>
      </w:r>
      <w:r w:rsidR="00EC7518" w:rsidRPr="00403E6A">
        <w:rPr>
          <w:rFonts w:ascii="Times New Roman" w:hAnsi="Times New Roman" w:cs="Times New Roman"/>
          <w:sz w:val="24"/>
          <w:szCs w:val="24"/>
        </w:rPr>
        <w:t xml:space="preserve">The plan takes the appealing elements of the </w:t>
      </w:r>
      <w:r w:rsidR="007D14DD" w:rsidRPr="00403E6A">
        <w:rPr>
          <w:rFonts w:ascii="Times New Roman" w:hAnsi="Times New Roman" w:cs="Times New Roman"/>
          <w:sz w:val="24"/>
          <w:szCs w:val="24"/>
        </w:rPr>
        <w:t>Biden and Sanders proposals</w:t>
      </w:r>
      <w:r w:rsidR="00B5483F" w:rsidRPr="00403E6A">
        <w:rPr>
          <w:rFonts w:ascii="Times New Roman" w:hAnsi="Times New Roman" w:cs="Times New Roman"/>
          <w:sz w:val="24"/>
          <w:szCs w:val="24"/>
        </w:rPr>
        <w:t>,</w:t>
      </w:r>
      <w:r w:rsidR="004400D9" w:rsidRPr="00403E6A">
        <w:rPr>
          <w:rFonts w:ascii="Times New Roman" w:hAnsi="Times New Roman" w:cs="Times New Roman"/>
          <w:sz w:val="24"/>
          <w:szCs w:val="24"/>
        </w:rPr>
        <w:t xml:space="preserve"> such as </w:t>
      </w:r>
      <w:r w:rsidR="00B5483F" w:rsidRPr="00403E6A">
        <w:rPr>
          <w:rFonts w:ascii="Times New Roman" w:hAnsi="Times New Roman" w:cs="Times New Roman"/>
          <w:sz w:val="24"/>
          <w:szCs w:val="24"/>
        </w:rPr>
        <w:t>streamlined overhead,</w:t>
      </w:r>
      <w:r w:rsidR="00A03125">
        <w:rPr>
          <w:rStyle w:val="FootnoteReference"/>
          <w:rFonts w:ascii="Times New Roman" w:hAnsi="Times New Roman" w:cs="Times New Roman"/>
          <w:sz w:val="24"/>
          <w:szCs w:val="24"/>
        </w:rPr>
        <w:footnoteReference w:id="197"/>
      </w:r>
      <w:r w:rsidR="007D14DD" w:rsidRPr="00403E6A">
        <w:rPr>
          <w:rFonts w:ascii="Times New Roman" w:hAnsi="Times New Roman" w:cs="Times New Roman"/>
          <w:sz w:val="24"/>
          <w:szCs w:val="24"/>
        </w:rPr>
        <w:t xml:space="preserve"> but </w:t>
      </w:r>
      <w:r w:rsidR="004400D9" w:rsidRPr="00403E6A">
        <w:rPr>
          <w:rFonts w:ascii="Times New Roman" w:hAnsi="Times New Roman" w:cs="Times New Roman"/>
          <w:sz w:val="24"/>
          <w:szCs w:val="24"/>
        </w:rPr>
        <w:t>decentralizes the management of insurance dollars</w:t>
      </w:r>
      <w:r w:rsidR="000F4E03" w:rsidRPr="00403E6A">
        <w:rPr>
          <w:rFonts w:ascii="Times New Roman" w:hAnsi="Times New Roman" w:cs="Times New Roman"/>
          <w:sz w:val="24"/>
          <w:szCs w:val="24"/>
        </w:rPr>
        <w:t>, which is vital to service quality</w:t>
      </w:r>
      <w:r w:rsidR="004400D9" w:rsidRPr="00403E6A">
        <w:rPr>
          <w:rFonts w:ascii="Times New Roman" w:hAnsi="Times New Roman" w:cs="Times New Roman"/>
          <w:sz w:val="24"/>
          <w:szCs w:val="24"/>
        </w:rPr>
        <w:t>.</w:t>
      </w:r>
      <w:r w:rsidR="00A278F9">
        <w:rPr>
          <w:rStyle w:val="FootnoteReference"/>
          <w:rFonts w:ascii="Times New Roman" w:hAnsi="Times New Roman" w:cs="Times New Roman"/>
          <w:sz w:val="24"/>
          <w:szCs w:val="24"/>
        </w:rPr>
        <w:footnoteReference w:id="198"/>
      </w:r>
    </w:p>
    <w:p w14:paraId="1848A936" w14:textId="12E9AA32" w:rsidR="005B613A" w:rsidRPr="00403E6A" w:rsidRDefault="005B613A" w:rsidP="0000524C">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r>
      <w:r w:rsidR="004D1F63" w:rsidRPr="00403E6A">
        <w:rPr>
          <w:rFonts w:ascii="Times New Roman" w:hAnsi="Times New Roman" w:cs="Times New Roman"/>
          <w:sz w:val="24"/>
          <w:szCs w:val="24"/>
        </w:rPr>
        <w:t xml:space="preserve">To address existing </w:t>
      </w:r>
      <w:r w:rsidR="00960CC4" w:rsidRPr="00403E6A">
        <w:rPr>
          <w:rFonts w:ascii="Times New Roman" w:hAnsi="Times New Roman" w:cs="Times New Roman"/>
          <w:sz w:val="24"/>
          <w:szCs w:val="24"/>
        </w:rPr>
        <w:t xml:space="preserve">consolidated markets, </w:t>
      </w:r>
      <w:r w:rsidR="0008559C" w:rsidRPr="00403E6A">
        <w:rPr>
          <w:rFonts w:ascii="Times New Roman" w:hAnsi="Times New Roman" w:cs="Times New Roman"/>
          <w:sz w:val="24"/>
          <w:szCs w:val="24"/>
        </w:rPr>
        <w:t xml:space="preserve">Roy proposes </w:t>
      </w:r>
      <w:r w:rsidR="00835FDF" w:rsidRPr="00403E6A">
        <w:rPr>
          <w:rFonts w:ascii="Times New Roman" w:hAnsi="Times New Roman" w:cs="Times New Roman"/>
          <w:sz w:val="24"/>
          <w:szCs w:val="24"/>
        </w:rPr>
        <w:t>that the FTC regulate certain mega-systems essentially as utilities.</w:t>
      </w:r>
      <w:r w:rsidR="00D35FD2">
        <w:rPr>
          <w:rStyle w:val="FootnoteReference"/>
          <w:rFonts w:ascii="Times New Roman" w:hAnsi="Times New Roman" w:cs="Times New Roman"/>
          <w:sz w:val="24"/>
          <w:szCs w:val="24"/>
        </w:rPr>
        <w:footnoteReference w:id="199"/>
      </w:r>
      <w:r w:rsidR="00835FDF" w:rsidRPr="00403E6A">
        <w:rPr>
          <w:rFonts w:ascii="Times New Roman" w:hAnsi="Times New Roman" w:cs="Times New Roman"/>
          <w:sz w:val="24"/>
          <w:szCs w:val="24"/>
        </w:rPr>
        <w:t xml:space="preserve"> </w:t>
      </w:r>
      <w:r w:rsidR="00146BE8" w:rsidRPr="00403E6A">
        <w:rPr>
          <w:rFonts w:ascii="Times New Roman" w:hAnsi="Times New Roman" w:cs="Times New Roman"/>
          <w:sz w:val="24"/>
          <w:szCs w:val="24"/>
        </w:rPr>
        <w:t>He</w:t>
      </w:r>
      <w:r w:rsidR="00D35FD2">
        <w:rPr>
          <w:rFonts w:ascii="Times New Roman" w:hAnsi="Times New Roman" w:cs="Times New Roman"/>
          <w:sz w:val="24"/>
          <w:szCs w:val="24"/>
        </w:rPr>
        <w:t xml:space="preserve"> </w:t>
      </w:r>
      <w:r w:rsidR="00146BE8" w:rsidRPr="00403E6A">
        <w:rPr>
          <w:rFonts w:ascii="Times New Roman" w:hAnsi="Times New Roman" w:cs="Times New Roman"/>
          <w:sz w:val="24"/>
          <w:szCs w:val="24"/>
        </w:rPr>
        <w:t xml:space="preserve">suggests that the systems be given two options: remain consolidated, but without monopoly pricing power; or voluntarily divest some holdings </w:t>
      </w:r>
      <w:r w:rsidR="00146BE8" w:rsidRPr="00403E6A">
        <w:rPr>
          <w:rFonts w:ascii="Times New Roman" w:hAnsi="Times New Roman" w:cs="Times New Roman"/>
          <w:sz w:val="24"/>
          <w:szCs w:val="24"/>
        </w:rPr>
        <w:lastRenderedPageBreak/>
        <w:t>to restore competition to their hospital market.</w:t>
      </w:r>
      <w:r w:rsidR="00D35FD2">
        <w:rPr>
          <w:rStyle w:val="FootnoteReference"/>
          <w:rFonts w:ascii="Times New Roman" w:hAnsi="Times New Roman" w:cs="Times New Roman"/>
          <w:sz w:val="24"/>
          <w:szCs w:val="24"/>
        </w:rPr>
        <w:footnoteReference w:id="200"/>
      </w:r>
      <w:r w:rsidR="00146BE8" w:rsidRPr="00403E6A">
        <w:rPr>
          <w:rFonts w:ascii="Times New Roman" w:hAnsi="Times New Roman" w:cs="Times New Roman"/>
          <w:sz w:val="24"/>
          <w:szCs w:val="24"/>
        </w:rPr>
        <w:t xml:space="preserve"> </w:t>
      </w:r>
      <w:r w:rsidR="00FE0E78" w:rsidRPr="00403E6A">
        <w:rPr>
          <w:rFonts w:ascii="Times New Roman" w:hAnsi="Times New Roman" w:cs="Times New Roman"/>
          <w:sz w:val="24"/>
          <w:szCs w:val="24"/>
        </w:rPr>
        <w:t xml:space="preserve">“If </w:t>
      </w:r>
      <w:r w:rsidR="00C600BA" w:rsidRPr="00403E6A">
        <w:rPr>
          <w:rFonts w:ascii="Times New Roman" w:hAnsi="Times New Roman" w:cs="Times New Roman"/>
          <w:sz w:val="24"/>
          <w:szCs w:val="24"/>
        </w:rPr>
        <w:t xml:space="preserve">a </w:t>
      </w:r>
      <w:r w:rsidR="00FE0E78" w:rsidRPr="00403E6A">
        <w:rPr>
          <w:rFonts w:ascii="Times New Roman" w:hAnsi="Times New Roman" w:cs="Times New Roman"/>
          <w:sz w:val="24"/>
          <w:szCs w:val="24"/>
        </w:rPr>
        <w:t xml:space="preserve">hospital market </w:t>
      </w:r>
      <w:r w:rsidR="00DD62C2" w:rsidRPr="00403E6A">
        <w:rPr>
          <w:rFonts w:ascii="Times New Roman" w:hAnsi="Times New Roman" w:cs="Times New Roman"/>
          <w:sz w:val="24"/>
          <w:szCs w:val="24"/>
        </w:rPr>
        <w:t xml:space="preserve">concentration … </w:t>
      </w:r>
      <w:r w:rsidR="00FE0E78" w:rsidRPr="00403E6A">
        <w:rPr>
          <w:rFonts w:ascii="Times New Roman" w:hAnsi="Times New Roman" w:cs="Times New Roman"/>
          <w:sz w:val="24"/>
          <w:szCs w:val="24"/>
        </w:rPr>
        <w:t xml:space="preserve">region exceeds an extremely high threshold … hospitals in that region with </w:t>
      </w:r>
      <w:r w:rsidR="00C600BA" w:rsidRPr="00403E6A">
        <w:rPr>
          <w:rFonts w:ascii="Times New Roman" w:hAnsi="Times New Roman" w:cs="Times New Roman"/>
          <w:sz w:val="24"/>
          <w:szCs w:val="24"/>
        </w:rPr>
        <w:t>&gt;</w:t>
      </w:r>
      <w:r w:rsidR="00FE0E78" w:rsidRPr="00403E6A">
        <w:rPr>
          <w:rFonts w:ascii="Times New Roman" w:hAnsi="Times New Roman" w:cs="Times New Roman"/>
          <w:sz w:val="24"/>
          <w:szCs w:val="24"/>
        </w:rPr>
        <w:t xml:space="preserve">15 percent market share would be required to accept rates </w:t>
      </w:r>
      <w:r w:rsidR="00DD62C2" w:rsidRPr="00403E6A">
        <w:rPr>
          <w:rFonts w:ascii="Times New Roman" w:hAnsi="Times New Roman" w:cs="Times New Roman"/>
          <w:sz w:val="24"/>
          <w:szCs w:val="24"/>
        </w:rPr>
        <w:t xml:space="preserve">… </w:t>
      </w:r>
      <w:r w:rsidR="00FE0E78" w:rsidRPr="00403E6A">
        <w:rPr>
          <w:rFonts w:ascii="Times New Roman" w:hAnsi="Times New Roman" w:cs="Times New Roman"/>
          <w:sz w:val="24"/>
          <w:szCs w:val="24"/>
        </w:rPr>
        <w:t>that are equal to or less than the median rate paid by a Medicare Advantage plan in that region.</w:t>
      </w:r>
      <w:r w:rsidR="000A0D87" w:rsidRPr="00403E6A">
        <w:rPr>
          <w:rFonts w:ascii="Times New Roman" w:hAnsi="Times New Roman" w:cs="Times New Roman"/>
          <w:sz w:val="24"/>
          <w:szCs w:val="24"/>
        </w:rPr>
        <w:t>”</w:t>
      </w:r>
      <w:r w:rsidR="00964AFE">
        <w:rPr>
          <w:rStyle w:val="FootnoteReference"/>
          <w:rFonts w:ascii="Times New Roman" w:hAnsi="Times New Roman" w:cs="Times New Roman"/>
          <w:sz w:val="24"/>
          <w:szCs w:val="24"/>
        </w:rPr>
        <w:footnoteReference w:id="201"/>
      </w:r>
      <w:r w:rsidR="00835FDF" w:rsidRPr="00403E6A">
        <w:rPr>
          <w:rFonts w:ascii="Times New Roman" w:hAnsi="Times New Roman" w:cs="Times New Roman"/>
          <w:sz w:val="24"/>
          <w:szCs w:val="24"/>
        </w:rPr>
        <w:t xml:space="preserve"> </w:t>
      </w:r>
      <w:r w:rsidR="003E6DD0" w:rsidRPr="00403E6A">
        <w:rPr>
          <w:rFonts w:ascii="Times New Roman" w:hAnsi="Times New Roman" w:cs="Times New Roman"/>
          <w:sz w:val="24"/>
          <w:szCs w:val="24"/>
        </w:rPr>
        <w:t>The proposal suggests that</w:t>
      </w:r>
      <w:r w:rsidR="003C1237" w:rsidRPr="00403E6A">
        <w:rPr>
          <w:rFonts w:ascii="Times New Roman" w:hAnsi="Times New Roman" w:cs="Times New Roman"/>
          <w:sz w:val="24"/>
          <w:szCs w:val="24"/>
        </w:rPr>
        <w:t>,</w:t>
      </w:r>
      <w:r w:rsidR="003E6DD0" w:rsidRPr="00403E6A">
        <w:rPr>
          <w:rFonts w:ascii="Times New Roman" w:hAnsi="Times New Roman" w:cs="Times New Roman"/>
          <w:sz w:val="24"/>
          <w:szCs w:val="24"/>
        </w:rPr>
        <w:t xml:space="preserve"> </w:t>
      </w:r>
      <w:r w:rsidR="003C1237" w:rsidRPr="00403E6A">
        <w:rPr>
          <w:rFonts w:ascii="Times New Roman" w:hAnsi="Times New Roman" w:cs="Times New Roman"/>
          <w:sz w:val="24"/>
          <w:szCs w:val="24"/>
        </w:rPr>
        <w:t>“These regional monopolies or oligopolies would remain free to charge less than Medicare Advantage rates, or to engage in value-based insurance contracts with an aggregate spend that remains below Medicare Advantage rates.”</w:t>
      </w:r>
      <w:r w:rsidR="00964AFE">
        <w:rPr>
          <w:rStyle w:val="FootnoteReference"/>
          <w:rFonts w:ascii="Times New Roman" w:hAnsi="Times New Roman" w:cs="Times New Roman"/>
          <w:sz w:val="24"/>
          <w:szCs w:val="24"/>
        </w:rPr>
        <w:footnoteReference w:id="202"/>
      </w:r>
      <w:r w:rsidR="001C4B98" w:rsidRPr="00403E6A">
        <w:rPr>
          <w:rFonts w:ascii="Times New Roman" w:hAnsi="Times New Roman" w:cs="Times New Roman"/>
          <w:sz w:val="24"/>
          <w:szCs w:val="24"/>
        </w:rPr>
        <w:t xml:space="preserve"> Under the plan, </w:t>
      </w:r>
      <w:r w:rsidR="00820976" w:rsidRPr="00403E6A">
        <w:rPr>
          <w:rFonts w:ascii="Times New Roman" w:hAnsi="Times New Roman" w:cs="Times New Roman"/>
          <w:sz w:val="24"/>
          <w:szCs w:val="24"/>
        </w:rPr>
        <w:t>the Medicare Advantage fee benchmark would be phased in over a seven-year period.</w:t>
      </w:r>
      <w:r w:rsidR="00675E4C">
        <w:rPr>
          <w:rStyle w:val="FootnoteReference"/>
          <w:rFonts w:ascii="Times New Roman" w:hAnsi="Times New Roman" w:cs="Times New Roman"/>
          <w:sz w:val="24"/>
          <w:szCs w:val="24"/>
        </w:rPr>
        <w:footnoteReference w:id="203"/>
      </w:r>
      <w:r w:rsidR="008115E0" w:rsidRPr="00403E6A">
        <w:rPr>
          <w:rFonts w:ascii="Times New Roman" w:hAnsi="Times New Roman" w:cs="Times New Roman"/>
          <w:sz w:val="24"/>
          <w:szCs w:val="24"/>
        </w:rPr>
        <w:t xml:space="preserve"> If the system chose to divest, they would be required to </w:t>
      </w:r>
      <w:r w:rsidR="00CA2418" w:rsidRPr="00403E6A">
        <w:rPr>
          <w:rFonts w:ascii="Times New Roman" w:hAnsi="Times New Roman" w:cs="Times New Roman"/>
          <w:sz w:val="24"/>
          <w:szCs w:val="24"/>
        </w:rPr>
        <w:t xml:space="preserve">bring hospital market concentration in their region below a certain threshold. </w:t>
      </w:r>
      <w:r w:rsidR="00675E4C">
        <w:rPr>
          <w:rStyle w:val="FootnoteReference"/>
          <w:rFonts w:ascii="Times New Roman" w:hAnsi="Times New Roman" w:cs="Times New Roman"/>
          <w:sz w:val="24"/>
          <w:szCs w:val="24"/>
        </w:rPr>
        <w:footnoteReference w:id="204"/>
      </w:r>
    </w:p>
    <w:p w14:paraId="47FF59DA" w14:textId="5E349FBD" w:rsidR="0000524C" w:rsidRPr="00403E6A" w:rsidRDefault="00196526" w:rsidP="0000524C">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t xml:space="preserve">To prevent further market consolidation, </w:t>
      </w:r>
      <w:r w:rsidR="00C266DF" w:rsidRPr="00403E6A">
        <w:rPr>
          <w:rFonts w:ascii="Times New Roman" w:hAnsi="Times New Roman" w:cs="Times New Roman"/>
          <w:sz w:val="24"/>
          <w:szCs w:val="24"/>
        </w:rPr>
        <w:t xml:space="preserve">Roy proposes </w:t>
      </w:r>
      <w:r w:rsidR="005656A6" w:rsidRPr="00403E6A">
        <w:rPr>
          <w:rFonts w:ascii="Times New Roman" w:hAnsi="Times New Roman" w:cs="Times New Roman"/>
          <w:sz w:val="24"/>
          <w:szCs w:val="24"/>
        </w:rPr>
        <w:t>a national all-payer claims database</w:t>
      </w:r>
      <w:r w:rsidR="00D03816" w:rsidRPr="00403E6A">
        <w:rPr>
          <w:rFonts w:ascii="Times New Roman" w:hAnsi="Times New Roman" w:cs="Times New Roman"/>
          <w:sz w:val="24"/>
          <w:szCs w:val="24"/>
        </w:rPr>
        <w:t xml:space="preserve"> </w:t>
      </w:r>
      <w:r w:rsidR="00B41EE8" w:rsidRPr="00403E6A">
        <w:rPr>
          <w:rFonts w:ascii="Times New Roman" w:hAnsi="Times New Roman" w:cs="Times New Roman"/>
          <w:sz w:val="24"/>
          <w:szCs w:val="24"/>
        </w:rPr>
        <w:t xml:space="preserve">(APCD) </w:t>
      </w:r>
      <w:r w:rsidR="00D03816" w:rsidRPr="00403E6A">
        <w:rPr>
          <w:rFonts w:ascii="Times New Roman" w:hAnsi="Times New Roman" w:cs="Times New Roman"/>
          <w:sz w:val="24"/>
          <w:szCs w:val="24"/>
        </w:rPr>
        <w:t xml:space="preserve">that delivers full transparency </w:t>
      </w:r>
      <w:r w:rsidR="0093727F" w:rsidRPr="00403E6A">
        <w:rPr>
          <w:rFonts w:ascii="Times New Roman" w:hAnsi="Times New Roman" w:cs="Times New Roman"/>
          <w:sz w:val="24"/>
          <w:szCs w:val="24"/>
        </w:rPr>
        <w:t xml:space="preserve">into contracts negotiated between </w:t>
      </w:r>
      <w:r w:rsidR="00CD421A" w:rsidRPr="00403E6A">
        <w:rPr>
          <w:rFonts w:ascii="Times New Roman" w:hAnsi="Times New Roman" w:cs="Times New Roman"/>
          <w:sz w:val="24"/>
          <w:szCs w:val="24"/>
        </w:rPr>
        <w:t>providers and insurers.</w:t>
      </w:r>
      <w:r w:rsidR="00124406">
        <w:rPr>
          <w:rStyle w:val="FootnoteReference"/>
          <w:rFonts w:ascii="Times New Roman" w:hAnsi="Times New Roman" w:cs="Times New Roman"/>
          <w:sz w:val="24"/>
          <w:szCs w:val="24"/>
        </w:rPr>
        <w:footnoteReference w:id="205"/>
      </w:r>
      <w:r w:rsidR="00CD421A" w:rsidRPr="00403E6A">
        <w:rPr>
          <w:rFonts w:ascii="Times New Roman" w:hAnsi="Times New Roman" w:cs="Times New Roman"/>
          <w:sz w:val="24"/>
          <w:szCs w:val="24"/>
        </w:rPr>
        <w:t xml:space="preserve"> </w:t>
      </w:r>
      <w:r w:rsidR="0009561B" w:rsidRPr="00403E6A">
        <w:rPr>
          <w:rFonts w:ascii="Times New Roman" w:hAnsi="Times New Roman" w:cs="Times New Roman"/>
          <w:sz w:val="24"/>
          <w:szCs w:val="24"/>
        </w:rPr>
        <w:t xml:space="preserve">This could help aid the FTC, given the </w:t>
      </w:r>
      <w:r w:rsidR="008E39C1" w:rsidRPr="00403E6A">
        <w:rPr>
          <w:rFonts w:ascii="Times New Roman" w:hAnsi="Times New Roman" w:cs="Times New Roman"/>
          <w:sz w:val="24"/>
          <w:szCs w:val="24"/>
        </w:rPr>
        <w:t xml:space="preserve">resources it would take to review each contract for anticompetitive practices. </w:t>
      </w:r>
      <w:r w:rsidR="00E077AA" w:rsidRPr="00403E6A">
        <w:rPr>
          <w:rFonts w:ascii="Times New Roman" w:hAnsi="Times New Roman" w:cs="Times New Roman"/>
          <w:sz w:val="24"/>
          <w:szCs w:val="24"/>
        </w:rPr>
        <w:t>Moreover, a</w:t>
      </w:r>
      <w:r w:rsidR="000245D5" w:rsidRPr="00403E6A">
        <w:rPr>
          <w:rFonts w:ascii="Times New Roman" w:hAnsi="Times New Roman" w:cs="Times New Roman"/>
          <w:sz w:val="24"/>
          <w:szCs w:val="24"/>
        </w:rPr>
        <w:t>ccording to Roy, “The claims database would serve the additional purpose of creating price transparency for private insurers, allowing more efficient competition, especially from new entrants and other startups.</w:t>
      </w:r>
      <w:r w:rsidR="00E53483" w:rsidRPr="00403E6A">
        <w:rPr>
          <w:rFonts w:ascii="Times New Roman" w:hAnsi="Times New Roman" w:cs="Times New Roman"/>
          <w:sz w:val="24"/>
          <w:szCs w:val="24"/>
        </w:rPr>
        <w:t>”</w:t>
      </w:r>
      <w:r w:rsidR="00651AD0">
        <w:rPr>
          <w:rStyle w:val="FootnoteReference"/>
          <w:rFonts w:ascii="Times New Roman" w:hAnsi="Times New Roman" w:cs="Times New Roman"/>
          <w:sz w:val="24"/>
          <w:szCs w:val="24"/>
        </w:rPr>
        <w:footnoteReference w:id="206"/>
      </w:r>
      <w:r w:rsidR="00E53483" w:rsidRPr="00403E6A">
        <w:rPr>
          <w:rFonts w:ascii="Times New Roman" w:hAnsi="Times New Roman" w:cs="Times New Roman"/>
          <w:sz w:val="24"/>
          <w:szCs w:val="24"/>
        </w:rPr>
        <w:t xml:space="preserve"> </w:t>
      </w:r>
      <w:r w:rsidR="00F67764" w:rsidRPr="00403E6A">
        <w:rPr>
          <w:rFonts w:ascii="Times New Roman" w:hAnsi="Times New Roman" w:cs="Times New Roman"/>
          <w:sz w:val="24"/>
          <w:szCs w:val="24"/>
        </w:rPr>
        <w:t xml:space="preserve">This would increase the leverage of less established insurers </w:t>
      </w:r>
      <w:r w:rsidR="005C50AB" w:rsidRPr="00403E6A">
        <w:rPr>
          <w:rFonts w:ascii="Times New Roman" w:hAnsi="Times New Roman" w:cs="Times New Roman"/>
          <w:sz w:val="24"/>
          <w:szCs w:val="24"/>
        </w:rPr>
        <w:t xml:space="preserve">as </w:t>
      </w:r>
      <w:r w:rsidR="00173E8F" w:rsidRPr="00403E6A">
        <w:rPr>
          <w:rFonts w:ascii="Times New Roman" w:hAnsi="Times New Roman" w:cs="Times New Roman"/>
          <w:sz w:val="24"/>
          <w:szCs w:val="24"/>
        </w:rPr>
        <w:t xml:space="preserve">they could better ascertain what certain providers are charging their competitors. </w:t>
      </w:r>
      <w:r w:rsidR="007C6161" w:rsidRPr="00403E6A">
        <w:rPr>
          <w:rFonts w:ascii="Times New Roman" w:hAnsi="Times New Roman" w:cs="Times New Roman"/>
          <w:sz w:val="24"/>
          <w:szCs w:val="24"/>
        </w:rPr>
        <w:t>This APCD structure would</w:t>
      </w:r>
      <w:r w:rsidR="00121735" w:rsidRPr="00403E6A">
        <w:rPr>
          <w:rFonts w:ascii="Times New Roman" w:hAnsi="Times New Roman" w:cs="Times New Roman"/>
          <w:sz w:val="24"/>
          <w:szCs w:val="24"/>
        </w:rPr>
        <w:t xml:space="preserve"> be legal under </w:t>
      </w:r>
      <w:bookmarkStart w:id="5" w:name="_Hlk70611200"/>
      <w:proofErr w:type="spellStart"/>
      <w:r w:rsidR="00121735" w:rsidRPr="00403E6A">
        <w:rPr>
          <w:rFonts w:ascii="Times New Roman" w:hAnsi="Times New Roman" w:cs="Times New Roman"/>
          <w:i/>
          <w:iCs/>
          <w:sz w:val="24"/>
          <w:szCs w:val="24"/>
        </w:rPr>
        <w:t>Gobeille</w:t>
      </w:r>
      <w:proofErr w:type="spellEnd"/>
      <w:r w:rsidR="00121735" w:rsidRPr="00403E6A">
        <w:rPr>
          <w:rFonts w:ascii="Times New Roman" w:hAnsi="Times New Roman" w:cs="Times New Roman"/>
          <w:i/>
          <w:iCs/>
          <w:sz w:val="24"/>
          <w:szCs w:val="24"/>
        </w:rPr>
        <w:t xml:space="preserve"> v. Liberty Mutual Insurance Company</w:t>
      </w:r>
      <w:bookmarkEnd w:id="5"/>
      <w:r w:rsidR="00121735" w:rsidRPr="00403E6A">
        <w:rPr>
          <w:rFonts w:ascii="Times New Roman" w:hAnsi="Times New Roman" w:cs="Times New Roman"/>
          <w:sz w:val="24"/>
          <w:szCs w:val="24"/>
        </w:rPr>
        <w:t xml:space="preserve">, which </w:t>
      </w:r>
      <w:r w:rsidR="00651AD0">
        <w:rPr>
          <w:rFonts w:ascii="Times New Roman" w:hAnsi="Times New Roman" w:cs="Times New Roman"/>
          <w:sz w:val="24"/>
          <w:szCs w:val="24"/>
        </w:rPr>
        <w:t xml:space="preserve">held that </w:t>
      </w:r>
      <w:r w:rsidR="00121735" w:rsidRPr="00403E6A">
        <w:rPr>
          <w:rFonts w:ascii="Times New Roman" w:hAnsi="Times New Roman" w:cs="Times New Roman"/>
          <w:sz w:val="24"/>
          <w:szCs w:val="24"/>
        </w:rPr>
        <w:t>The Employee Retirement Income Security Act of</w:t>
      </w:r>
      <w:r w:rsidR="008C68CB">
        <w:rPr>
          <w:rFonts w:ascii="Times New Roman" w:hAnsi="Times New Roman" w:cs="Times New Roman"/>
          <w:sz w:val="24"/>
          <w:szCs w:val="24"/>
        </w:rPr>
        <w:t xml:space="preserve"> </w:t>
      </w:r>
      <w:r w:rsidR="00121735" w:rsidRPr="00403E6A">
        <w:rPr>
          <w:rFonts w:ascii="Times New Roman" w:hAnsi="Times New Roman" w:cs="Times New Roman"/>
          <w:sz w:val="24"/>
          <w:szCs w:val="24"/>
        </w:rPr>
        <w:lastRenderedPageBreak/>
        <w:t xml:space="preserve">1974 </w:t>
      </w:r>
      <w:r w:rsidR="00255788" w:rsidRPr="00403E6A">
        <w:rPr>
          <w:rFonts w:ascii="Times New Roman" w:hAnsi="Times New Roman" w:cs="Times New Roman"/>
          <w:sz w:val="24"/>
          <w:szCs w:val="24"/>
        </w:rPr>
        <w:t xml:space="preserve">(ERISA) </w:t>
      </w:r>
      <w:r w:rsidR="00121735" w:rsidRPr="00403E6A">
        <w:rPr>
          <w:rFonts w:ascii="Times New Roman" w:hAnsi="Times New Roman" w:cs="Times New Roman"/>
          <w:sz w:val="24"/>
          <w:szCs w:val="24"/>
        </w:rPr>
        <w:t>preempts state law requiring disclosure of payments relating to health care claims.</w:t>
      </w:r>
      <w:r w:rsidR="004F28D0">
        <w:rPr>
          <w:rStyle w:val="FootnoteReference"/>
          <w:rFonts w:ascii="Times New Roman" w:hAnsi="Times New Roman" w:cs="Times New Roman"/>
          <w:sz w:val="24"/>
          <w:szCs w:val="24"/>
        </w:rPr>
        <w:footnoteReference w:id="207"/>
      </w:r>
      <w:r w:rsidR="00121735" w:rsidRPr="00403E6A">
        <w:rPr>
          <w:rFonts w:ascii="Times New Roman" w:hAnsi="Times New Roman" w:cs="Times New Roman"/>
          <w:sz w:val="24"/>
          <w:szCs w:val="24"/>
        </w:rPr>
        <w:t xml:space="preserve"> </w:t>
      </w:r>
    </w:p>
    <w:p w14:paraId="54BAF50F" w14:textId="49B1676F" w:rsidR="00567C28" w:rsidRPr="00403E6A" w:rsidRDefault="00567C28" w:rsidP="0000524C">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t xml:space="preserve">Next, </w:t>
      </w:r>
      <w:r w:rsidR="00556236" w:rsidRPr="00403E6A">
        <w:rPr>
          <w:rFonts w:ascii="Times New Roman" w:hAnsi="Times New Roman" w:cs="Times New Roman"/>
          <w:sz w:val="24"/>
          <w:szCs w:val="24"/>
        </w:rPr>
        <w:t xml:space="preserve">like President Biden, </w:t>
      </w:r>
      <w:r w:rsidRPr="00403E6A">
        <w:rPr>
          <w:rFonts w:ascii="Times New Roman" w:hAnsi="Times New Roman" w:cs="Times New Roman"/>
          <w:sz w:val="24"/>
          <w:szCs w:val="24"/>
        </w:rPr>
        <w:t>Roy</w:t>
      </w:r>
      <w:r w:rsidR="00556236" w:rsidRPr="00403E6A">
        <w:rPr>
          <w:rFonts w:ascii="Times New Roman" w:hAnsi="Times New Roman" w:cs="Times New Roman"/>
          <w:sz w:val="24"/>
          <w:szCs w:val="24"/>
        </w:rPr>
        <w:t xml:space="preserve"> </w:t>
      </w:r>
      <w:r w:rsidR="00AF01B1" w:rsidRPr="00403E6A">
        <w:rPr>
          <w:rFonts w:ascii="Times New Roman" w:hAnsi="Times New Roman" w:cs="Times New Roman"/>
          <w:sz w:val="24"/>
          <w:szCs w:val="24"/>
        </w:rPr>
        <w:t xml:space="preserve">suggests increased </w:t>
      </w:r>
      <w:r w:rsidR="00A96241" w:rsidRPr="00403E6A">
        <w:rPr>
          <w:rFonts w:ascii="Times New Roman" w:hAnsi="Times New Roman" w:cs="Times New Roman"/>
          <w:sz w:val="24"/>
          <w:szCs w:val="24"/>
        </w:rPr>
        <w:t xml:space="preserve">antitrust enforcement </w:t>
      </w:r>
      <w:r w:rsidR="00CA121D" w:rsidRPr="00403E6A">
        <w:rPr>
          <w:rFonts w:ascii="Times New Roman" w:hAnsi="Times New Roman" w:cs="Times New Roman"/>
          <w:sz w:val="24"/>
          <w:szCs w:val="24"/>
        </w:rPr>
        <w:t xml:space="preserve">to discourage further hospital and physician group consolidation. </w:t>
      </w:r>
      <w:r w:rsidR="0005609D" w:rsidRPr="00403E6A">
        <w:rPr>
          <w:rFonts w:ascii="Times New Roman" w:hAnsi="Times New Roman" w:cs="Times New Roman"/>
          <w:sz w:val="24"/>
          <w:szCs w:val="24"/>
        </w:rPr>
        <w:t xml:space="preserve">The proposal would </w:t>
      </w:r>
      <w:r w:rsidR="00D6140D" w:rsidRPr="00403E6A">
        <w:rPr>
          <w:rFonts w:ascii="Times New Roman" w:hAnsi="Times New Roman" w:cs="Times New Roman"/>
          <w:sz w:val="24"/>
          <w:szCs w:val="24"/>
        </w:rPr>
        <w:t>quadruple funding for the FTC, while restricting that funding to hire hospital industry specialists</w:t>
      </w:r>
      <w:r w:rsidR="00D9544C">
        <w:rPr>
          <w:rFonts w:ascii="Times New Roman" w:hAnsi="Times New Roman" w:cs="Times New Roman"/>
          <w:sz w:val="24"/>
          <w:szCs w:val="24"/>
        </w:rPr>
        <w:t>:</w:t>
      </w:r>
      <w:r w:rsidR="007D3E7A" w:rsidRPr="00403E6A">
        <w:rPr>
          <w:rFonts w:ascii="Times New Roman" w:hAnsi="Times New Roman" w:cs="Times New Roman"/>
          <w:sz w:val="24"/>
          <w:szCs w:val="24"/>
        </w:rPr>
        <w:t xml:space="preserve"> “Expanding staffing at a government agency may seem like a counterintuitive way to increase market competition, but antitrust litigation is an important, and underutilized, tool for combating anticompetitive hospital practices.”</w:t>
      </w:r>
      <w:r w:rsidR="00D9544C">
        <w:rPr>
          <w:rStyle w:val="FootnoteReference"/>
          <w:rFonts w:ascii="Times New Roman" w:hAnsi="Times New Roman" w:cs="Times New Roman"/>
          <w:sz w:val="24"/>
          <w:szCs w:val="24"/>
        </w:rPr>
        <w:footnoteReference w:id="208"/>
      </w:r>
      <w:r w:rsidR="007D3E7A" w:rsidRPr="00403E6A">
        <w:rPr>
          <w:rFonts w:ascii="Times New Roman" w:hAnsi="Times New Roman" w:cs="Times New Roman"/>
          <w:sz w:val="24"/>
          <w:szCs w:val="24"/>
        </w:rPr>
        <w:t xml:space="preserve"> </w:t>
      </w:r>
      <w:r w:rsidR="000D1F2E" w:rsidRPr="00403E6A">
        <w:rPr>
          <w:rFonts w:ascii="Times New Roman" w:hAnsi="Times New Roman" w:cs="Times New Roman"/>
          <w:sz w:val="24"/>
          <w:szCs w:val="24"/>
        </w:rPr>
        <w:t xml:space="preserve">Increased </w:t>
      </w:r>
      <w:r w:rsidR="00DD5FB8" w:rsidRPr="00403E6A">
        <w:rPr>
          <w:rFonts w:ascii="Times New Roman" w:hAnsi="Times New Roman" w:cs="Times New Roman"/>
          <w:sz w:val="24"/>
          <w:szCs w:val="24"/>
        </w:rPr>
        <w:t xml:space="preserve">litigation efforts could </w:t>
      </w:r>
      <w:r w:rsidR="00FE27AA" w:rsidRPr="00403E6A">
        <w:rPr>
          <w:rFonts w:ascii="Times New Roman" w:hAnsi="Times New Roman" w:cs="Times New Roman"/>
          <w:sz w:val="24"/>
          <w:szCs w:val="24"/>
        </w:rPr>
        <w:t xml:space="preserve">push courts to review the mistakes made </w:t>
      </w:r>
      <w:r w:rsidR="00AA6580" w:rsidRPr="00403E6A">
        <w:rPr>
          <w:rFonts w:ascii="Times New Roman" w:hAnsi="Times New Roman" w:cs="Times New Roman"/>
          <w:sz w:val="24"/>
          <w:szCs w:val="24"/>
        </w:rPr>
        <w:t xml:space="preserve">in healthcare antitrust </w:t>
      </w:r>
      <w:r w:rsidR="00E92E46" w:rsidRPr="00403E6A">
        <w:rPr>
          <w:rFonts w:ascii="Times New Roman" w:hAnsi="Times New Roman" w:cs="Times New Roman"/>
          <w:sz w:val="24"/>
          <w:szCs w:val="24"/>
        </w:rPr>
        <w:t xml:space="preserve">cases such as </w:t>
      </w:r>
      <w:r w:rsidR="00E92E46" w:rsidRPr="00403E6A">
        <w:rPr>
          <w:rFonts w:ascii="Times New Roman" w:hAnsi="Times New Roman" w:cs="Times New Roman"/>
          <w:i/>
          <w:iCs/>
          <w:sz w:val="24"/>
          <w:szCs w:val="24"/>
        </w:rPr>
        <w:t>Rockford</w:t>
      </w:r>
      <w:r w:rsidR="00E92E46" w:rsidRPr="00403E6A">
        <w:rPr>
          <w:rFonts w:ascii="Times New Roman" w:hAnsi="Times New Roman" w:cs="Times New Roman"/>
          <w:sz w:val="24"/>
          <w:szCs w:val="24"/>
        </w:rPr>
        <w:t xml:space="preserve">, which was discussed above. </w:t>
      </w:r>
      <w:r w:rsidR="00E622E8" w:rsidRPr="00403E6A">
        <w:rPr>
          <w:rFonts w:ascii="Times New Roman" w:hAnsi="Times New Roman" w:cs="Times New Roman"/>
          <w:sz w:val="24"/>
          <w:szCs w:val="24"/>
        </w:rPr>
        <w:t xml:space="preserve">A </w:t>
      </w:r>
      <w:r w:rsidR="00C70328" w:rsidRPr="00403E6A">
        <w:rPr>
          <w:rFonts w:ascii="Times New Roman" w:hAnsi="Times New Roman" w:cs="Times New Roman"/>
          <w:sz w:val="24"/>
          <w:szCs w:val="24"/>
        </w:rPr>
        <w:t xml:space="preserve">change in healthcare antitrust case law could reverse the consolidation trends the industry has realized since </w:t>
      </w:r>
      <w:r w:rsidR="007427FE" w:rsidRPr="00403E6A">
        <w:rPr>
          <w:rFonts w:ascii="Times New Roman" w:hAnsi="Times New Roman" w:cs="Times New Roman"/>
          <w:sz w:val="24"/>
          <w:szCs w:val="24"/>
        </w:rPr>
        <w:t xml:space="preserve">the move towards </w:t>
      </w:r>
      <w:r w:rsidR="00FE4358" w:rsidRPr="00403E6A">
        <w:rPr>
          <w:rFonts w:ascii="Times New Roman" w:hAnsi="Times New Roman" w:cs="Times New Roman"/>
          <w:sz w:val="24"/>
          <w:szCs w:val="24"/>
        </w:rPr>
        <w:t xml:space="preserve">enhanced </w:t>
      </w:r>
      <w:r w:rsidR="007427FE" w:rsidRPr="00403E6A">
        <w:rPr>
          <w:rFonts w:ascii="Times New Roman" w:hAnsi="Times New Roman" w:cs="Times New Roman"/>
          <w:sz w:val="24"/>
          <w:szCs w:val="24"/>
        </w:rPr>
        <w:t xml:space="preserve">vertical integration and the incentives given to providers to formulate ACOs. </w:t>
      </w:r>
    </w:p>
    <w:p w14:paraId="62DD4439" w14:textId="6A99AC79" w:rsidR="005F62F4" w:rsidRPr="00403E6A" w:rsidRDefault="005F62F4" w:rsidP="0000524C">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r>
      <w:r w:rsidR="00933596" w:rsidRPr="00403E6A">
        <w:rPr>
          <w:rFonts w:ascii="Times New Roman" w:hAnsi="Times New Roman" w:cs="Times New Roman"/>
          <w:sz w:val="24"/>
          <w:szCs w:val="24"/>
        </w:rPr>
        <w:t xml:space="preserve">Roy </w:t>
      </w:r>
      <w:r w:rsidR="008475E4" w:rsidRPr="00403E6A">
        <w:rPr>
          <w:rFonts w:ascii="Times New Roman" w:hAnsi="Times New Roman" w:cs="Times New Roman"/>
          <w:sz w:val="24"/>
          <w:szCs w:val="24"/>
        </w:rPr>
        <w:t xml:space="preserve">also </w:t>
      </w:r>
      <w:r w:rsidR="00933596" w:rsidRPr="00403E6A">
        <w:rPr>
          <w:rFonts w:ascii="Times New Roman" w:hAnsi="Times New Roman" w:cs="Times New Roman"/>
          <w:sz w:val="24"/>
          <w:szCs w:val="24"/>
        </w:rPr>
        <w:t xml:space="preserve">proposes </w:t>
      </w:r>
      <w:r w:rsidR="00364E18" w:rsidRPr="00403E6A">
        <w:rPr>
          <w:rFonts w:ascii="Times New Roman" w:hAnsi="Times New Roman" w:cs="Times New Roman"/>
          <w:sz w:val="24"/>
          <w:szCs w:val="24"/>
        </w:rPr>
        <w:t xml:space="preserve">other piecemeal reforms that should prevent further consolidation and reverse current trends in the healthcare marketplace. </w:t>
      </w:r>
      <w:r w:rsidR="007613DC" w:rsidRPr="00403E6A">
        <w:rPr>
          <w:rFonts w:ascii="Times New Roman" w:hAnsi="Times New Roman" w:cs="Times New Roman"/>
          <w:sz w:val="24"/>
          <w:szCs w:val="24"/>
        </w:rPr>
        <w:t xml:space="preserve">These reforms include repealing regulations that create barriers to entry for new providers such as state certificate of need, </w:t>
      </w:r>
      <w:r w:rsidR="00042869" w:rsidRPr="00403E6A">
        <w:rPr>
          <w:rFonts w:ascii="Times New Roman" w:hAnsi="Times New Roman" w:cs="Times New Roman"/>
          <w:sz w:val="24"/>
          <w:szCs w:val="24"/>
        </w:rPr>
        <w:t>any willing provider, and network adequacy laws</w:t>
      </w:r>
      <w:r w:rsidR="0093620A" w:rsidRPr="00403E6A">
        <w:rPr>
          <w:rFonts w:ascii="Times New Roman" w:hAnsi="Times New Roman" w:cs="Times New Roman"/>
          <w:sz w:val="24"/>
          <w:szCs w:val="24"/>
        </w:rPr>
        <w:t>.</w:t>
      </w:r>
      <w:r w:rsidR="00F73894">
        <w:rPr>
          <w:rStyle w:val="FootnoteReference"/>
          <w:rFonts w:ascii="Times New Roman" w:hAnsi="Times New Roman" w:cs="Times New Roman"/>
          <w:sz w:val="24"/>
          <w:szCs w:val="24"/>
        </w:rPr>
        <w:footnoteReference w:id="209"/>
      </w:r>
      <w:r w:rsidR="0093620A" w:rsidRPr="00403E6A">
        <w:rPr>
          <w:rFonts w:ascii="Times New Roman" w:hAnsi="Times New Roman" w:cs="Times New Roman"/>
          <w:sz w:val="24"/>
          <w:szCs w:val="24"/>
        </w:rPr>
        <w:t xml:space="preserve"> </w:t>
      </w:r>
      <w:r w:rsidR="00FB7274" w:rsidRPr="00403E6A">
        <w:rPr>
          <w:rFonts w:ascii="Times New Roman" w:hAnsi="Times New Roman" w:cs="Times New Roman"/>
          <w:sz w:val="24"/>
          <w:szCs w:val="24"/>
        </w:rPr>
        <w:t xml:space="preserve">These laws require insurers to </w:t>
      </w:r>
      <w:r w:rsidR="00856B99" w:rsidRPr="00403E6A">
        <w:rPr>
          <w:rFonts w:ascii="Times New Roman" w:hAnsi="Times New Roman" w:cs="Times New Roman"/>
          <w:sz w:val="24"/>
          <w:szCs w:val="24"/>
        </w:rPr>
        <w:t xml:space="preserve">include in-market providers, regardless of the leverage that </w:t>
      </w:r>
      <w:r w:rsidR="00A50522" w:rsidRPr="00403E6A">
        <w:rPr>
          <w:rFonts w:ascii="Times New Roman" w:hAnsi="Times New Roman" w:cs="Times New Roman"/>
          <w:sz w:val="24"/>
          <w:szCs w:val="24"/>
        </w:rPr>
        <w:t>those providers may have over the insurer.</w:t>
      </w:r>
      <w:r w:rsidR="000B1AB4">
        <w:rPr>
          <w:rStyle w:val="FootnoteReference"/>
          <w:rFonts w:ascii="Times New Roman" w:hAnsi="Times New Roman" w:cs="Times New Roman"/>
          <w:sz w:val="24"/>
          <w:szCs w:val="24"/>
        </w:rPr>
        <w:footnoteReference w:id="210"/>
      </w:r>
      <w:r w:rsidR="000B1AB4">
        <w:rPr>
          <w:rFonts w:ascii="Times New Roman" w:hAnsi="Times New Roman" w:cs="Times New Roman"/>
          <w:sz w:val="24"/>
          <w:szCs w:val="24"/>
        </w:rPr>
        <w:t xml:space="preserve"> </w:t>
      </w:r>
      <w:r w:rsidR="00504FD2" w:rsidRPr="00403E6A">
        <w:rPr>
          <w:rFonts w:ascii="Times New Roman" w:hAnsi="Times New Roman" w:cs="Times New Roman"/>
          <w:sz w:val="24"/>
          <w:szCs w:val="24"/>
        </w:rPr>
        <w:t xml:space="preserve">Additionally, </w:t>
      </w:r>
      <w:r w:rsidR="009F4D40" w:rsidRPr="00403E6A">
        <w:rPr>
          <w:rFonts w:ascii="Times New Roman" w:hAnsi="Times New Roman" w:cs="Times New Roman"/>
          <w:sz w:val="24"/>
          <w:szCs w:val="24"/>
        </w:rPr>
        <w:t xml:space="preserve">the proposal calls for increased usage of </w:t>
      </w:r>
      <w:r w:rsidR="00E2032D" w:rsidRPr="00403E6A">
        <w:rPr>
          <w:rFonts w:ascii="Times New Roman" w:hAnsi="Times New Roman" w:cs="Times New Roman"/>
          <w:sz w:val="24"/>
          <w:szCs w:val="24"/>
        </w:rPr>
        <w:t xml:space="preserve">telemedicine and medical tourism </w:t>
      </w:r>
      <w:r w:rsidR="00013C40" w:rsidRPr="00403E6A">
        <w:rPr>
          <w:rFonts w:ascii="Times New Roman" w:hAnsi="Times New Roman" w:cs="Times New Roman"/>
          <w:sz w:val="24"/>
          <w:szCs w:val="24"/>
        </w:rPr>
        <w:t xml:space="preserve">to </w:t>
      </w:r>
      <w:r w:rsidR="00A1310E" w:rsidRPr="00403E6A">
        <w:rPr>
          <w:rFonts w:ascii="Times New Roman" w:hAnsi="Times New Roman" w:cs="Times New Roman"/>
          <w:sz w:val="24"/>
          <w:szCs w:val="24"/>
        </w:rPr>
        <w:t>enable patients to purchase medical services outside of their region</w:t>
      </w:r>
      <w:r w:rsidR="00094C22" w:rsidRPr="00403E6A">
        <w:rPr>
          <w:rFonts w:ascii="Times New Roman" w:hAnsi="Times New Roman" w:cs="Times New Roman"/>
          <w:sz w:val="24"/>
          <w:szCs w:val="24"/>
        </w:rPr>
        <w:t xml:space="preserve">. </w:t>
      </w:r>
      <w:r w:rsidR="000B1AB4">
        <w:rPr>
          <w:rStyle w:val="FootnoteReference"/>
          <w:rFonts w:ascii="Times New Roman" w:hAnsi="Times New Roman" w:cs="Times New Roman"/>
          <w:sz w:val="24"/>
          <w:szCs w:val="24"/>
        </w:rPr>
        <w:footnoteReference w:id="211"/>
      </w:r>
    </w:p>
    <w:p w14:paraId="00B2F89E" w14:textId="7F181B9D" w:rsidR="002A37C0" w:rsidRPr="00403E6A" w:rsidRDefault="002A37C0" w:rsidP="002A37C0">
      <w:pPr>
        <w:pStyle w:val="ListParagraph"/>
        <w:numPr>
          <w:ilvl w:val="0"/>
          <w:numId w:val="6"/>
        </w:numPr>
        <w:rPr>
          <w:rFonts w:ascii="Times New Roman" w:hAnsi="Times New Roman" w:cs="Times New Roman"/>
          <w:sz w:val="24"/>
          <w:szCs w:val="24"/>
          <w:u w:val="single"/>
        </w:rPr>
      </w:pPr>
      <w:r w:rsidRPr="00403E6A">
        <w:rPr>
          <w:rFonts w:ascii="Times New Roman" w:hAnsi="Times New Roman" w:cs="Times New Roman"/>
          <w:sz w:val="24"/>
          <w:szCs w:val="24"/>
          <w:u w:val="single"/>
        </w:rPr>
        <w:lastRenderedPageBreak/>
        <w:t xml:space="preserve">Empower Consumers to Dilute the Power of the Monopolies </w:t>
      </w:r>
    </w:p>
    <w:p w14:paraId="15049015" w14:textId="06D2FE3A" w:rsidR="00DE35B3" w:rsidRPr="00403E6A" w:rsidRDefault="002A37C0" w:rsidP="009E2874">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r>
      <w:r w:rsidR="00110C67" w:rsidRPr="00403E6A">
        <w:rPr>
          <w:rFonts w:ascii="Times New Roman" w:hAnsi="Times New Roman" w:cs="Times New Roman"/>
          <w:sz w:val="24"/>
          <w:szCs w:val="24"/>
        </w:rPr>
        <w:t>Dr. Ryan Neuhofel’s</w:t>
      </w:r>
      <w:r w:rsidR="0048481A" w:rsidRPr="00403E6A">
        <w:rPr>
          <w:rFonts w:ascii="Times New Roman" w:hAnsi="Times New Roman" w:cs="Times New Roman"/>
          <w:sz w:val="24"/>
          <w:szCs w:val="24"/>
        </w:rPr>
        <w:t xml:space="preserve"> </w:t>
      </w:r>
      <w:r w:rsidR="000F4E03" w:rsidRPr="00403E6A">
        <w:rPr>
          <w:rFonts w:ascii="Times New Roman" w:hAnsi="Times New Roman" w:cs="Times New Roman"/>
          <w:sz w:val="24"/>
          <w:szCs w:val="24"/>
        </w:rPr>
        <w:t xml:space="preserve">proposal </w:t>
      </w:r>
      <w:r w:rsidR="00110C67" w:rsidRPr="00403E6A">
        <w:rPr>
          <w:rFonts w:ascii="Times New Roman" w:hAnsi="Times New Roman" w:cs="Times New Roman"/>
          <w:sz w:val="24"/>
          <w:szCs w:val="24"/>
        </w:rPr>
        <w:t xml:space="preserve">is another consumer driven plan </w:t>
      </w:r>
      <w:r w:rsidR="009013F5" w:rsidRPr="00403E6A">
        <w:rPr>
          <w:rFonts w:ascii="Times New Roman" w:hAnsi="Times New Roman" w:cs="Times New Roman"/>
          <w:sz w:val="24"/>
          <w:szCs w:val="24"/>
        </w:rPr>
        <w:t>t</w:t>
      </w:r>
      <w:r w:rsidR="00E719CB" w:rsidRPr="00403E6A">
        <w:rPr>
          <w:rFonts w:ascii="Times New Roman" w:hAnsi="Times New Roman" w:cs="Times New Roman"/>
          <w:sz w:val="24"/>
          <w:szCs w:val="24"/>
        </w:rPr>
        <w:t xml:space="preserve">hat </w:t>
      </w:r>
      <w:r w:rsidR="00130128" w:rsidRPr="00403E6A">
        <w:rPr>
          <w:rFonts w:ascii="Times New Roman" w:hAnsi="Times New Roman" w:cs="Times New Roman"/>
          <w:sz w:val="24"/>
          <w:szCs w:val="24"/>
        </w:rPr>
        <w:t>thwart</w:t>
      </w:r>
      <w:r w:rsidR="00E719CB" w:rsidRPr="00403E6A">
        <w:rPr>
          <w:rFonts w:ascii="Times New Roman" w:hAnsi="Times New Roman" w:cs="Times New Roman"/>
          <w:sz w:val="24"/>
          <w:szCs w:val="24"/>
        </w:rPr>
        <w:t>s</w:t>
      </w:r>
      <w:r w:rsidR="00130128" w:rsidRPr="00403E6A">
        <w:rPr>
          <w:rFonts w:ascii="Times New Roman" w:hAnsi="Times New Roman" w:cs="Times New Roman"/>
          <w:sz w:val="24"/>
          <w:szCs w:val="24"/>
        </w:rPr>
        <w:t xml:space="preserve"> market centralization </w:t>
      </w:r>
      <w:r w:rsidR="00E719CB" w:rsidRPr="00403E6A">
        <w:rPr>
          <w:rFonts w:ascii="Times New Roman" w:hAnsi="Times New Roman" w:cs="Times New Roman"/>
          <w:sz w:val="24"/>
          <w:szCs w:val="24"/>
        </w:rPr>
        <w:t>while maintaining quality of service</w:t>
      </w:r>
      <w:r w:rsidR="00110C67" w:rsidRPr="00403E6A">
        <w:rPr>
          <w:rFonts w:ascii="Times New Roman" w:hAnsi="Times New Roman" w:cs="Times New Roman"/>
          <w:sz w:val="24"/>
          <w:szCs w:val="24"/>
        </w:rPr>
        <w:t xml:space="preserve">. </w:t>
      </w:r>
      <w:r w:rsidR="00D52949" w:rsidRPr="00403E6A">
        <w:rPr>
          <w:rFonts w:ascii="Times New Roman" w:hAnsi="Times New Roman" w:cs="Times New Roman"/>
          <w:sz w:val="24"/>
          <w:szCs w:val="24"/>
        </w:rPr>
        <w:t xml:space="preserve">Dr. Neuhofel is a </w:t>
      </w:r>
      <w:r w:rsidR="003F1410">
        <w:rPr>
          <w:rFonts w:ascii="Times New Roman" w:hAnsi="Times New Roman" w:cs="Times New Roman"/>
          <w:sz w:val="24"/>
          <w:szCs w:val="24"/>
        </w:rPr>
        <w:t xml:space="preserve">direct </w:t>
      </w:r>
      <w:r w:rsidR="00EB7839" w:rsidRPr="00403E6A">
        <w:rPr>
          <w:rFonts w:ascii="Times New Roman" w:hAnsi="Times New Roman" w:cs="Times New Roman"/>
          <w:sz w:val="24"/>
          <w:szCs w:val="24"/>
        </w:rPr>
        <w:t>primary care physician</w:t>
      </w:r>
      <w:r w:rsidR="008B4E74" w:rsidRPr="00403E6A">
        <w:rPr>
          <w:rFonts w:ascii="Times New Roman" w:hAnsi="Times New Roman" w:cs="Times New Roman"/>
          <w:sz w:val="24"/>
          <w:szCs w:val="24"/>
        </w:rPr>
        <w:t>, who provides health care to patients without a third-party insurer.</w:t>
      </w:r>
      <w:r w:rsidR="008A6785">
        <w:rPr>
          <w:rStyle w:val="FootnoteReference"/>
          <w:rFonts w:ascii="Times New Roman" w:hAnsi="Times New Roman" w:cs="Times New Roman"/>
          <w:sz w:val="24"/>
          <w:szCs w:val="24"/>
        </w:rPr>
        <w:footnoteReference w:id="212"/>
      </w:r>
      <w:r w:rsidR="008B4E74" w:rsidRPr="00403E6A">
        <w:rPr>
          <w:rFonts w:ascii="Times New Roman" w:hAnsi="Times New Roman" w:cs="Times New Roman"/>
          <w:sz w:val="24"/>
          <w:szCs w:val="24"/>
        </w:rPr>
        <w:t xml:space="preserve"> </w:t>
      </w:r>
      <w:r w:rsidR="003D0762" w:rsidRPr="00403E6A">
        <w:rPr>
          <w:rFonts w:ascii="Times New Roman" w:hAnsi="Times New Roman" w:cs="Times New Roman"/>
          <w:sz w:val="24"/>
          <w:szCs w:val="24"/>
        </w:rPr>
        <w:t>Like</w:t>
      </w:r>
      <w:r w:rsidR="004E7BB9" w:rsidRPr="00403E6A">
        <w:rPr>
          <w:rFonts w:ascii="Times New Roman" w:hAnsi="Times New Roman" w:cs="Times New Roman"/>
          <w:sz w:val="24"/>
          <w:szCs w:val="24"/>
        </w:rPr>
        <w:t xml:space="preserve"> concierge medicine, </w:t>
      </w:r>
      <w:r w:rsidR="003D0762" w:rsidRPr="00403E6A">
        <w:rPr>
          <w:rFonts w:ascii="Times New Roman" w:hAnsi="Times New Roman" w:cs="Times New Roman"/>
          <w:sz w:val="24"/>
          <w:szCs w:val="24"/>
        </w:rPr>
        <w:t xml:space="preserve">Dr. Neuhofel charges a monthly </w:t>
      </w:r>
      <w:r w:rsidR="001F0DD6" w:rsidRPr="00403E6A">
        <w:rPr>
          <w:rFonts w:ascii="Times New Roman" w:hAnsi="Times New Roman" w:cs="Times New Roman"/>
          <w:sz w:val="24"/>
          <w:szCs w:val="24"/>
        </w:rPr>
        <w:t xml:space="preserve">membership fee </w:t>
      </w:r>
      <w:r w:rsidR="003D0762" w:rsidRPr="00403E6A">
        <w:rPr>
          <w:rFonts w:ascii="Times New Roman" w:hAnsi="Times New Roman" w:cs="Times New Roman"/>
          <w:sz w:val="24"/>
          <w:szCs w:val="24"/>
        </w:rPr>
        <w:t>to patients</w:t>
      </w:r>
      <w:r w:rsidR="00696ED9" w:rsidRPr="00403E6A">
        <w:rPr>
          <w:rFonts w:ascii="Times New Roman" w:hAnsi="Times New Roman" w:cs="Times New Roman"/>
          <w:sz w:val="24"/>
          <w:szCs w:val="24"/>
        </w:rPr>
        <w:t xml:space="preserve"> at an average rate of $43 per member per month</w:t>
      </w:r>
      <w:r w:rsidR="00BC557C" w:rsidRPr="00403E6A">
        <w:rPr>
          <w:rFonts w:ascii="Times New Roman" w:hAnsi="Times New Roman" w:cs="Times New Roman"/>
          <w:sz w:val="24"/>
          <w:szCs w:val="24"/>
        </w:rPr>
        <w:t>.</w:t>
      </w:r>
      <w:r w:rsidR="0054669F">
        <w:rPr>
          <w:rStyle w:val="FootnoteReference"/>
          <w:rFonts w:ascii="Times New Roman" w:hAnsi="Times New Roman" w:cs="Times New Roman"/>
          <w:sz w:val="24"/>
          <w:szCs w:val="24"/>
        </w:rPr>
        <w:footnoteReference w:id="213"/>
      </w:r>
      <w:r w:rsidR="00BC557C" w:rsidRPr="00403E6A">
        <w:rPr>
          <w:rFonts w:ascii="Times New Roman" w:hAnsi="Times New Roman" w:cs="Times New Roman"/>
          <w:sz w:val="24"/>
          <w:szCs w:val="24"/>
        </w:rPr>
        <w:t xml:space="preserve"> This </w:t>
      </w:r>
      <w:r w:rsidR="00910337" w:rsidRPr="00403E6A">
        <w:rPr>
          <w:rFonts w:ascii="Times New Roman" w:hAnsi="Times New Roman" w:cs="Times New Roman"/>
          <w:sz w:val="24"/>
          <w:szCs w:val="24"/>
        </w:rPr>
        <w:t>fee</w:t>
      </w:r>
      <w:r w:rsidR="00BC557C" w:rsidRPr="00403E6A">
        <w:rPr>
          <w:rFonts w:ascii="Times New Roman" w:hAnsi="Times New Roman" w:cs="Times New Roman"/>
          <w:sz w:val="24"/>
          <w:szCs w:val="24"/>
        </w:rPr>
        <w:t xml:space="preserve"> covers a</w:t>
      </w:r>
      <w:r w:rsidR="00693F96" w:rsidRPr="00403E6A">
        <w:rPr>
          <w:rFonts w:ascii="Times New Roman" w:hAnsi="Times New Roman" w:cs="Times New Roman"/>
          <w:sz w:val="24"/>
          <w:szCs w:val="24"/>
        </w:rPr>
        <w:t>n array</w:t>
      </w:r>
      <w:r w:rsidR="00BC557C" w:rsidRPr="00403E6A">
        <w:rPr>
          <w:rFonts w:ascii="Times New Roman" w:hAnsi="Times New Roman" w:cs="Times New Roman"/>
          <w:sz w:val="24"/>
          <w:szCs w:val="24"/>
        </w:rPr>
        <w:t xml:space="preserve"> </w:t>
      </w:r>
      <w:r w:rsidR="00B41287" w:rsidRPr="00403E6A">
        <w:rPr>
          <w:rFonts w:ascii="Times New Roman" w:hAnsi="Times New Roman" w:cs="Times New Roman"/>
          <w:sz w:val="24"/>
          <w:szCs w:val="24"/>
        </w:rPr>
        <w:t xml:space="preserve">of </w:t>
      </w:r>
      <w:r w:rsidR="009B676A" w:rsidRPr="00403E6A">
        <w:rPr>
          <w:rFonts w:ascii="Times New Roman" w:hAnsi="Times New Roman" w:cs="Times New Roman"/>
          <w:sz w:val="24"/>
          <w:szCs w:val="24"/>
        </w:rPr>
        <w:t xml:space="preserve">basic and </w:t>
      </w:r>
      <w:r w:rsidR="00041AAC" w:rsidRPr="00403E6A">
        <w:rPr>
          <w:rFonts w:ascii="Times New Roman" w:hAnsi="Times New Roman" w:cs="Times New Roman"/>
          <w:sz w:val="24"/>
          <w:szCs w:val="24"/>
        </w:rPr>
        <w:t xml:space="preserve">ancillary </w:t>
      </w:r>
      <w:r w:rsidR="00B41287" w:rsidRPr="00403E6A">
        <w:rPr>
          <w:rFonts w:ascii="Times New Roman" w:hAnsi="Times New Roman" w:cs="Times New Roman"/>
          <w:sz w:val="24"/>
          <w:szCs w:val="24"/>
        </w:rPr>
        <w:t xml:space="preserve">services such as </w:t>
      </w:r>
      <w:r w:rsidR="00041AAC" w:rsidRPr="00403E6A">
        <w:rPr>
          <w:rFonts w:ascii="Times New Roman" w:hAnsi="Times New Roman" w:cs="Times New Roman"/>
          <w:sz w:val="24"/>
          <w:szCs w:val="24"/>
        </w:rPr>
        <w:t>la</w:t>
      </w:r>
      <w:r w:rsidR="00A43298" w:rsidRPr="00403E6A">
        <w:rPr>
          <w:rFonts w:ascii="Times New Roman" w:hAnsi="Times New Roman" w:cs="Times New Roman"/>
          <w:sz w:val="24"/>
          <w:szCs w:val="24"/>
        </w:rPr>
        <w:t xml:space="preserve">bs </w:t>
      </w:r>
      <w:r w:rsidR="00BA1372" w:rsidRPr="00403E6A">
        <w:rPr>
          <w:rFonts w:ascii="Times New Roman" w:hAnsi="Times New Roman" w:cs="Times New Roman"/>
          <w:sz w:val="24"/>
          <w:szCs w:val="24"/>
        </w:rPr>
        <w:t xml:space="preserve">and </w:t>
      </w:r>
      <w:r w:rsidR="00A43298" w:rsidRPr="00403E6A">
        <w:rPr>
          <w:rFonts w:ascii="Times New Roman" w:hAnsi="Times New Roman" w:cs="Times New Roman"/>
          <w:sz w:val="24"/>
          <w:szCs w:val="24"/>
        </w:rPr>
        <w:t>radiology</w:t>
      </w:r>
      <w:r w:rsidR="00881BCE" w:rsidRPr="00403E6A">
        <w:rPr>
          <w:rFonts w:ascii="Times New Roman" w:hAnsi="Times New Roman" w:cs="Times New Roman"/>
          <w:sz w:val="24"/>
          <w:szCs w:val="24"/>
        </w:rPr>
        <w:t xml:space="preserve"> at wholesale rates</w:t>
      </w:r>
      <w:r w:rsidR="0002204F" w:rsidRPr="00403E6A">
        <w:rPr>
          <w:rFonts w:ascii="Times New Roman" w:hAnsi="Times New Roman" w:cs="Times New Roman"/>
          <w:sz w:val="24"/>
          <w:szCs w:val="24"/>
        </w:rPr>
        <w:t>.</w:t>
      </w:r>
      <w:r w:rsidR="008F60EB">
        <w:rPr>
          <w:rStyle w:val="FootnoteReference"/>
          <w:rFonts w:ascii="Times New Roman" w:hAnsi="Times New Roman" w:cs="Times New Roman"/>
          <w:sz w:val="24"/>
          <w:szCs w:val="24"/>
        </w:rPr>
        <w:footnoteReference w:id="214"/>
      </w:r>
      <w:r w:rsidR="0002204F" w:rsidRPr="00403E6A">
        <w:rPr>
          <w:rFonts w:ascii="Times New Roman" w:hAnsi="Times New Roman" w:cs="Times New Roman"/>
          <w:sz w:val="24"/>
          <w:szCs w:val="24"/>
        </w:rPr>
        <w:t xml:space="preserve"> If a patient desires an additional service outside of the </w:t>
      </w:r>
      <w:r w:rsidR="000C6196" w:rsidRPr="00403E6A">
        <w:rPr>
          <w:rFonts w:ascii="Times New Roman" w:hAnsi="Times New Roman" w:cs="Times New Roman"/>
          <w:sz w:val="24"/>
          <w:szCs w:val="24"/>
        </w:rPr>
        <w:t xml:space="preserve">negotiated </w:t>
      </w:r>
      <w:r w:rsidR="0002204F" w:rsidRPr="00403E6A">
        <w:rPr>
          <w:rFonts w:ascii="Times New Roman" w:hAnsi="Times New Roman" w:cs="Times New Roman"/>
          <w:sz w:val="24"/>
          <w:szCs w:val="24"/>
        </w:rPr>
        <w:t xml:space="preserve">benefit package, the </w:t>
      </w:r>
      <w:r w:rsidR="00343B5A" w:rsidRPr="00403E6A">
        <w:rPr>
          <w:rFonts w:ascii="Times New Roman" w:hAnsi="Times New Roman" w:cs="Times New Roman"/>
          <w:sz w:val="24"/>
          <w:szCs w:val="24"/>
        </w:rPr>
        <w:t>physician</w:t>
      </w:r>
      <w:r w:rsidR="003271E8" w:rsidRPr="00403E6A">
        <w:rPr>
          <w:rFonts w:ascii="Times New Roman" w:hAnsi="Times New Roman" w:cs="Times New Roman"/>
          <w:sz w:val="24"/>
          <w:szCs w:val="24"/>
        </w:rPr>
        <w:t xml:space="preserve"> </w:t>
      </w:r>
      <w:r w:rsidR="00D6390F" w:rsidRPr="00403E6A">
        <w:rPr>
          <w:rFonts w:ascii="Times New Roman" w:hAnsi="Times New Roman" w:cs="Times New Roman"/>
          <w:sz w:val="24"/>
          <w:szCs w:val="24"/>
        </w:rPr>
        <w:t>provides it at a cost.</w:t>
      </w:r>
      <w:r w:rsidR="008F60EB">
        <w:rPr>
          <w:rStyle w:val="FootnoteReference"/>
          <w:rFonts w:ascii="Times New Roman" w:hAnsi="Times New Roman" w:cs="Times New Roman"/>
          <w:sz w:val="24"/>
          <w:szCs w:val="24"/>
        </w:rPr>
        <w:footnoteReference w:id="215"/>
      </w:r>
      <w:r w:rsidR="003F1F82" w:rsidRPr="00403E6A">
        <w:rPr>
          <w:rFonts w:ascii="Times New Roman" w:hAnsi="Times New Roman" w:cs="Times New Roman"/>
          <w:sz w:val="24"/>
          <w:szCs w:val="24"/>
        </w:rPr>
        <w:t xml:space="preserve"> The model, which Dr. Neuhofel refers to as Direct Primary Care</w:t>
      </w:r>
      <w:r w:rsidR="00D93060" w:rsidRPr="00403E6A">
        <w:rPr>
          <w:rFonts w:ascii="Times New Roman" w:hAnsi="Times New Roman" w:cs="Times New Roman"/>
          <w:sz w:val="24"/>
          <w:szCs w:val="24"/>
        </w:rPr>
        <w:t xml:space="preserve"> (DPC)</w:t>
      </w:r>
      <w:r w:rsidR="003F1F82" w:rsidRPr="00403E6A">
        <w:rPr>
          <w:rFonts w:ascii="Times New Roman" w:hAnsi="Times New Roman" w:cs="Times New Roman"/>
          <w:sz w:val="24"/>
          <w:szCs w:val="24"/>
        </w:rPr>
        <w:t xml:space="preserve">, </w:t>
      </w:r>
      <w:r w:rsidR="000A2BA9" w:rsidRPr="00403E6A">
        <w:rPr>
          <w:rFonts w:ascii="Times New Roman" w:hAnsi="Times New Roman" w:cs="Times New Roman"/>
          <w:sz w:val="24"/>
          <w:szCs w:val="24"/>
        </w:rPr>
        <w:t xml:space="preserve">is a bottom-up approach that </w:t>
      </w:r>
      <w:r w:rsidR="00260DDF">
        <w:rPr>
          <w:rFonts w:ascii="Times New Roman" w:hAnsi="Times New Roman" w:cs="Times New Roman"/>
          <w:sz w:val="24"/>
          <w:szCs w:val="24"/>
        </w:rPr>
        <w:t>he refers to as</w:t>
      </w:r>
      <w:r w:rsidR="00A34EB4" w:rsidRPr="00403E6A">
        <w:rPr>
          <w:rFonts w:ascii="Times New Roman" w:hAnsi="Times New Roman" w:cs="Times New Roman"/>
          <w:sz w:val="24"/>
          <w:szCs w:val="24"/>
        </w:rPr>
        <w:t xml:space="preserve"> </w:t>
      </w:r>
      <w:r w:rsidR="00260DDF">
        <w:rPr>
          <w:rFonts w:ascii="Times New Roman" w:hAnsi="Times New Roman" w:cs="Times New Roman"/>
          <w:sz w:val="24"/>
          <w:szCs w:val="24"/>
        </w:rPr>
        <w:t>“</w:t>
      </w:r>
      <w:r w:rsidR="00A34EB4" w:rsidRPr="00403E6A">
        <w:rPr>
          <w:rFonts w:ascii="Times New Roman" w:hAnsi="Times New Roman" w:cs="Times New Roman"/>
          <w:sz w:val="24"/>
          <w:szCs w:val="24"/>
        </w:rPr>
        <w:t xml:space="preserve">a </w:t>
      </w:r>
      <w:r w:rsidR="001F0DD6" w:rsidRPr="00403E6A">
        <w:rPr>
          <w:rFonts w:ascii="Times New Roman" w:hAnsi="Times New Roman" w:cs="Times New Roman"/>
          <w:sz w:val="24"/>
          <w:szCs w:val="24"/>
        </w:rPr>
        <w:t xml:space="preserve">metaphorical </w:t>
      </w:r>
      <w:r w:rsidR="00A34EB4" w:rsidRPr="00403E6A">
        <w:rPr>
          <w:rFonts w:ascii="Times New Roman" w:hAnsi="Times New Roman" w:cs="Times New Roman"/>
          <w:sz w:val="24"/>
          <w:szCs w:val="24"/>
        </w:rPr>
        <w:t>Costco of primary care.</w:t>
      </w:r>
      <w:r w:rsidR="00260DDF">
        <w:rPr>
          <w:rFonts w:ascii="Times New Roman" w:hAnsi="Times New Roman" w:cs="Times New Roman"/>
          <w:sz w:val="24"/>
          <w:szCs w:val="24"/>
        </w:rPr>
        <w:t>”</w:t>
      </w:r>
      <w:r w:rsidR="00260DDF">
        <w:rPr>
          <w:rStyle w:val="FootnoteReference"/>
          <w:rFonts w:ascii="Times New Roman" w:hAnsi="Times New Roman" w:cs="Times New Roman"/>
          <w:sz w:val="24"/>
          <w:szCs w:val="24"/>
        </w:rPr>
        <w:footnoteReference w:id="216"/>
      </w:r>
      <w:r w:rsidR="00A34EB4" w:rsidRPr="00403E6A">
        <w:rPr>
          <w:rFonts w:ascii="Times New Roman" w:hAnsi="Times New Roman" w:cs="Times New Roman"/>
          <w:sz w:val="24"/>
          <w:szCs w:val="24"/>
        </w:rPr>
        <w:t xml:space="preserve"> </w:t>
      </w:r>
      <w:r w:rsidR="004702CD" w:rsidRPr="00403E6A">
        <w:rPr>
          <w:rFonts w:ascii="Times New Roman" w:hAnsi="Times New Roman" w:cs="Times New Roman"/>
          <w:sz w:val="24"/>
          <w:szCs w:val="24"/>
        </w:rPr>
        <w:t xml:space="preserve">The model reduces administrative overhead and eliminates most billing, coding, and regulatory compliance </w:t>
      </w:r>
      <w:r w:rsidR="00002992" w:rsidRPr="00403E6A">
        <w:rPr>
          <w:rFonts w:ascii="Times New Roman" w:hAnsi="Times New Roman" w:cs="Times New Roman"/>
          <w:sz w:val="24"/>
          <w:szCs w:val="24"/>
        </w:rPr>
        <w:t xml:space="preserve">requirements that interfere with quality of care </w:t>
      </w:r>
      <w:r w:rsidR="008134A5" w:rsidRPr="00403E6A">
        <w:rPr>
          <w:rFonts w:ascii="Times New Roman" w:hAnsi="Times New Roman" w:cs="Times New Roman"/>
          <w:sz w:val="24"/>
          <w:szCs w:val="24"/>
        </w:rPr>
        <w:t xml:space="preserve">while </w:t>
      </w:r>
      <w:r w:rsidR="00002992" w:rsidRPr="00403E6A">
        <w:rPr>
          <w:rFonts w:ascii="Times New Roman" w:hAnsi="Times New Roman" w:cs="Times New Roman"/>
          <w:sz w:val="24"/>
          <w:szCs w:val="24"/>
        </w:rPr>
        <w:t>increas</w:t>
      </w:r>
      <w:r w:rsidR="008134A5" w:rsidRPr="00403E6A">
        <w:rPr>
          <w:rFonts w:ascii="Times New Roman" w:hAnsi="Times New Roman" w:cs="Times New Roman"/>
          <w:sz w:val="24"/>
          <w:szCs w:val="24"/>
        </w:rPr>
        <w:t>ing</w:t>
      </w:r>
      <w:r w:rsidR="00002992" w:rsidRPr="00403E6A">
        <w:rPr>
          <w:rFonts w:ascii="Times New Roman" w:hAnsi="Times New Roman" w:cs="Times New Roman"/>
          <w:sz w:val="24"/>
          <w:szCs w:val="24"/>
        </w:rPr>
        <w:t xml:space="preserve"> costs. </w:t>
      </w:r>
      <w:r w:rsidR="0057586E" w:rsidRPr="00403E6A">
        <w:rPr>
          <w:rFonts w:ascii="Times New Roman" w:hAnsi="Times New Roman" w:cs="Times New Roman"/>
          <w:sz w:val="24"/>
          <w:szCs w:val="24"/>
        </w:rPr>
        <w:t xml:space="preserve">Moreover, it </w:t>
      </w:r>
      <w:r w:rsidR="002A5F56" w:rsidRPr="00403E6A">
        <w:rPr>
          <w:rFonts w:ascii="Times New Roman" w:hAnsi="Times New Roman" w:cs="Times New Roman"/>
          <w:sz w:val="24"/>
          <w:szCs w:val="24"/>
        </w:rPr>
        <w:t xml:space="preserve">puts a greater onus </w:t>
      </w:r>
      <w:r w:rsidR="00D7714C" w:rsidRPr="00403E6A">
        <w:rPr>
          <w:rFonts w:ascii="Times New Roman" w:hAnsi="Times New Roman" w:cs="Times New Roman"/>
          <w:sz w:val="24"/>
          <w:szCs w:val="24"/>
        </w:rPr>
        <w:t>on general practi</w:t>
      </w:r>
      <w:r w:rsidR="00453125" w:rsidRPr="00403E6A">
        <w:rPr>
          <w:rFonts w:ascii="Times New Roman" w:hAnsi="Times New Roman" w:cs="Times New Roman"/>
          <w:sz w:val="24"/>
          <w:szCs w:val="24"/>
        </w:rPr>
        <w:t>ti</w:t>
      </w:r>
      <w:r w:rsidR="00D7714C" w:rsidRPr="00403E6A">
        <w:rPr>
          <w:rFonts w:ascii="Times New Roman" w:hAnsi="Times New Roman" w:cs="Times New Roman"/>
          <w:sz w:val="24"/>
          <w:szCs w:val="24"/>
        </w:rPr>
        <w:t>oners</w:t>
      </w:r>
      <w:r w:rsidR="00453125" w:rsidRPr="00403E6A">
        <w:rPr>
          <w:rFonts w:ascii="Times New Roman" w:hAnsi="Times New Roman" w:cs="Times New Roman"/>
          <w:sz w:val="24"/>
          <w:szCs w:val="24"/>
        </w:rPr>
        <w:t xml:space="preserve"> to deliver care for patients, as opposed to </w:t>
      </w:r>
      <w:r w:rsidR="005A4E71" w:rsidRPr="00403E6A">
        <w:rPr>
          <w:rFonts w:ascii="Times New Roman" w:hAnsi="Times New Roman" w:cs="Times New Roman"/>
          <w:sz w:val="24"/>
          <w:szCs w:val="24"/>
        </w:rPr>
        <w:t xml:space="preserve">our current structure of overreliance on specialists. </w:t>
      </w:r>
      <w:r w:rsidR="00E5351C" w:rsidRPr="00403E6A">
        <w:rPr>
          <w:rFonts w:ascii="Times New Roman" w:hAnsi="Times New Roman" w:cs="Times New Roman"/>
          <w:sz w:val="24"/>
          <w:szCs w:val="24"/>
        </w:rPr>
        <w:t>This would rever</w:t>
      </w:r>
      <w:r w:rsidR="007D5DAE" w:rsidRPr="00403E6A">
        <w:rPr>
          <w:rFonts w:ascii="Times New Roman" w:hAnsi="Times New Roman" w:cs="Times New Roman"/>
          <w:sz w:val="24"/>
          <w:szCs w:val="24"/>
        </w:rPr>
        <w:t>s</w:t>
      </w:r>
      <w:r w:rsidR="00E5351C" w:rsidRPr="00403E6A">
        <w:rPr>
          <w:rFonts w:ascii="Times New Roman" w:hAnsi="Times New Roman" w:cs="Times New Roman"/>
          <w:sz w:val="24"/>
          <w:szCs w:val="24"/>
        </w:rPr>
        <w:t xml:space="preserve">e the trend of treating primary care providers </w:t>
      </w:r>
      <w:r w:rsidR="007D5DAE" w:rsidRPr="00403E6A">
        <w:rPr>
          <w:rFonts w:ascii="Times New Roman" w:hAnsi="Times New Roman" w:cs="Times New Roman"/>
          <w:sz w:val="24"/>
          <w:szCs w:val="24"/>
        </w:rPr>
        <w:t>as essential “referralists”, as Dr. Neuhofel puts it.</w:t>
      </w:r>
      <w:r w:rsidR="00530B79">
        <w:rPr>
          <w:rStyle w:val="FootnoteReference"/>
          <w:rFonts w:ascii="Times New Roman" w:hAnsi="Times New Roman" w:cs="Times New Roman"/>
          <w:sz w:val="24"/>
          <w:szCs w:val="24"/>
        </w:rPr>
        <w:footnoteReference w:id="217"/>
      </w:r>
      <w:r w:rsidR="007D5DAE" w:rsidRPr="00403E6A">
        <w:rPr>
          <w:rFonts w:ascii="Times New Roman" w:hAnsi="Times New Roman" w:cs="Times New Roman"/>
          <w:sz w:val="24"/>
          <w:szCs w:val="24"/>
        </w:rPr>
        <w:t xml:space="preserve"> </w:t>
      </w:r>
      <w:r w:rsidR="00773FD0" w:rsidRPr="00403E6A">
        <w:rPr>
          <w:rFonts w:ascii="Times New Roman" w:hAnsi="Times New Roman" w:cs="Times New Roman"/>
          <w:sz w:val="24"/>
          <w:szCs w:val="24"/>
        </w:rPr>
        <w:t xml:space="preserve">Additionally, the </w:t>
      </w:r>
      <w:r w:rsidR="00CF0825" w:rsidRPr="00403E6A">
        <w:rPr>
          <w:rFonts w:ascii="Times New Roman" w:hAnsi="Times New Roman" w:cs="Times New Roman"/>
          <w:sz w:val="24"/>
          <w:szCs w:val="24"/>
        </w:rPr>
        <w:t xml:space="preserve">model provides transparent pricing for </w:t>
      </w:r>
      <w:r w:rsidR="00FF0652" w:rsidRPr="00403E6A">
        <w:rPr>
          <w:rFonts w:ascii="Times New Roman" w:hAnsi="Times New Roman" w:cs="Times New Roman"/>
          <w:sz w:val="24"/>
          <w:szCs w:val="24"/>
        </w:rPr>
        <w:t>consumers</w:t>
      </w:r>
      <w:r w:rsidR="009412AB" w:rsidRPr="00403E6A">
        <w:rPr>
          <w:rFonts w:ascii="Times New Roman" w:hAnsi="Times New Roman" w:cs="Times New Roman"/>
          <w:sz w:val="24"/>
          <w:szCs w:val="24"/>
        </w:rPr>
        <w:t>.</w:t>
      </w:r>
      <w:r w:rsidR="00530B79">
        <w:rPr>
          <w:rStyle w:val="FootnoteReference"/>
          <w:rFonts w:ascii="Times New Roman" w:hAnsi="Times New Roman" w:cs="Times New Roman"/>
          <w:sz w:val="24"/>
          <w:szCs w:val="24"/>
        </w:rPr>
        <w:footnoteReference w:id="218"/>
      </w:r>
      <w:r w:rsidR="00D93060" w:rsidRPr="00403E6A">
        <w:rPr>
          <w:rFonts w:ascii="Times New Roman" w:hAnsi="Times New Roman" w:cs="Times New Roman"/>
          <w:sz w:val="24"/>
          <w:szCs w:val="24"/>
        </w:rPr>
        <w:t xml:space="preserve"> </w:t>
      </w:r>
    </w:p>
    <w:p w14:paraId="5F1F6470" w14:textId="7FEACA00" w:rsidR="0079017B" w:rsidRPr="00403E6A" w:rsidRDefault="002D1143" w:rsidP="0079017B">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r>
      <w:r w:rsidR="009E2874" w:rsidRPr="00403E6A">
        <w:rPr>
          <w:rFonts w:ascii="Times New Roman" w:hAnsi="Times New Roman" w:cs="Times New Roman"/>
          <w:sz w:val="24"/>
          <w:szCs w:val="24"/>
        </w:rPr>
        <w:t xml:space="preserve">To make this reform proposal universal, Dr. Neuhofel proposes </w:t>
      </w:r>
      <w:r w:rsidR="004702CD" w:rsidRPr="00403E6A">
        <w:rPr>
          <w:rFonts w:ascii="Times New Roman" w:hAnsi="Times New Roman" w:cs="Times New Roman"/>
          <w:sz w:val="24"/>
          <w:szCs w:val="24"/>
        </w:rPr>
        <w:t xml:space="preserve">public health savings accounts for every </w:t>
      </w:r>
      <w:r w:rsidR="00953CC2" w:rsidRPr="00403E6A">
        <w:rPr>
          <w:rFonts w:ascii="Times New Roman" w:hAnsi="Times New Roman" w:cs="Times New Roman"/>
          <w:sz w:val="24"/>
          <w:szCs w:val="24"/>
        </w:rPr>
        <w:t xml:space="preserve">American that </w:t>
      </w:r>
      <w:r w:rsidR="004746B9" w:rsidRPr="00403E6A">
        <w:rPr>
          <w:rFonts w:ascii="Times New Roman" w:hAnsi="Times New Roman" w:cs="Times New Roman"/>
          <w:sz w:val="24"/>
          <w:szCs w:val="24"/>
        </w:rPr>
        <w:t>would be</w:t>
      </w:r>
      <w:r w:rsidR="00953CC2" w:rsidRPr="00403E6A">
        <w:rPr>
          <w:rFonts w:ascii="Times New Roman" w:hAnsi="Times New Roman" w:cs="Times New Roman"/>
          <w:sz w:val="24"/>
          <w:szCs w:val="24"/>
        </w:rPr>
        <w:t xml:space="preserve"> supported with government subsidies</w:t>
      </w:r>
      <w:r w:rsidR="00775036" w:rsidRPr="00403E6A">
        <w:rPr>
          <w:rFonts w:ascii="Times New Roman" w:hAnsi="Times New Roman" w:cs="Times New Roman"/>
          <w:sz w:val="24"/>
          <w:szCs w:val="24"/>
        </w:rPr>
        <w:t xml:space="preserve">, if necessary. </w:t>
      </w:r>
      <w:r w:rsidR="0029398F">
        <w:rPr>
          <w:rStyle w:val="FootnoteReference"/>
          <w:rFonts w:ascii="Times New Roman" w:hAnsi="Times New Roman" w:cs="Times New Roman"/>
          <w:sz w:val="24"/>
          <w:szCs w:val="24"/>
        </w:rPr>
        <w:footnoteReference w:id="219"/>
      </w:r>
      <w:r w:rsidR="005F63F5">
        <w:rPr>
          <w:rFonts w:ascii="Times New Roman" w:hAnsi="Times New Roman" w:cs="Times New Roman"/>
          <w:sz w:val="24"/>
          <w:szCs w:val="24"/>
        </w:rPr>
        <w:t xml:space="preserve"> </w:t>
      </w:r>
      <w:r w:rsidR="00F365C4" w:rsidRPr="00403E6A">
        <w:rPr>
          <w:rFonts w:ascii="Times New Roman" w:hAnsi="Times New Roman" w:cs="Times New Roman"/>
          <w:sz w:val="24"/>
          <w:szCs w:val="24"/>
        </w:rPr>
        <w:t>Moreover, Dr. Neuhofel proposes a Medicare-for-cata</w:t>
      </w:r>
      <w:r w:rsidR="005F3416" w:rsidRPr="00403E6A">
        <w:rPr>
          <w:rFonts w:ascii="Times New Roman" w:hAnsi="Times New Roman" w:cs="Times New Roman"/>
          <w:sz w:val="24"/>
          <w:szCs w:val="24"/>
        </w:rPr>
        <w:t xml:space="preserve">strophic-for-all to cover emergency and </w:t>
      </w:r>
      <w:r w:rsidR="005F3416" w:rsidRPr="00403E6A">
        <w:rPr>
          <w:rFonts w:ascii="Times New Roman" w:hAnsi="Times New Roman" w:cs="Times New Roman"/>
          <w:sz w:val="24"/>
          <w:szCs w:val="24"/>
        </w:rPr>
        <w:lastRenderedPageBreak/>
        <w:t>catastrophic health care needs.</w:t>
      </w:r>
      <w:r w:rsidR="005F63F5">
        <w:rPr>
          <w:rStyle w:val="FootnoteReference"/>
          <w:rFonts w:ascii="Times New Roman" w:hAnsi="Times New Roman" w:cs="Times New Roman"/>
          <w:sz w:val="24"/>
          <w:szCs w:val="24"/>
        </w:rPr>
        <w:footnoteReference w:id="220"/>
      </w:r>
      <w:r w:rsidR="005F3416" w:rsidRPr="00403E6A">
        <w:rPr>
          <w:rFonts w:ascii="Times New Roman" w:hAnsi="Times New Roman" w:cs="Times New Roman"/>
          <w:sz w:val="24"/>
          <w:szCs w:val="24"/>
        </w:rPr>
        <w:t xml:space="preserve"> </w:t>
      </w:r>
      <w:r w:rsidR="00CA48BF" w:rsidRPr="00403E6A">
        <w:rPr>
          <w:rFonts w:ascii="Times New Roman" w:hAnsi="Times New Roman" w:cs="Times New Roman"/>
          <w:sz w:val="24"/>
          <w:szCs w:val="24"/>
        </w:rPr>
        <w:t>This paper does not go into the plan in full</w:t>
      </w:r>
      <w:r w:rsidR="002B4547" w:rsidRPr="00403E6A">
        <w:rPr>
          <w:rFonts w:ascii="Times New Roman" w:hAnsi="Times New Roman" w:cs="Times New Roman"/>
          <w:sz w:val="24"/>
          <w:szCs w:val="24"/>
        </w:rPr>
        <w:t xml:space="preserve"> but will be cited throughout for reference purposes. </w:t>
      </w:r>
      <w:r w:rsidR="001D509E" w:rsidRPr="00403E6A">
        <w:rPr>
          <w:rFonts w:ascii="Times New Roman" w:hAnsi="Times New Roman" w:cs="Times New Roman"/>
          <w:sz w:val="24"/>
          <w:szCs w:val="24"/>
        </w:rPr>
        <w:t xml:space="preserve">As discussed earlier, vertical integration </w:t>
      </w:r>
      <w:r w:rsidR="0098426F" w:rsidRPr="00403E6A">
        <w:rPr>
          <w:rFonts w:ascii="Times New Roman" w:hAnsi="Times New Roman" w:cs="Times New Roman"/>
          <w:sz w:val="24"/>
          <w:szCs w:val="24"/>
        </w:rPr>
        <w:t xml:space="preserve">has become a talking point for provider networks who seek to enhance market leverage. </w:t>
      </w:r>
      <w:r w:rsidR="004C6773" w:rsidRPr="00403E6A">
        <w:rPr>
          <w:rFonts w:ascii="Times New Roman" w:hAnsi="Times New Roman" w:cs="Times New Roman"/>
          <w:sz w:val="24"/>
          <w:szCs w:val="24"/>
        </w:rPr>
        <w:t xml:space="preserve">Although some aspects of vertical integration have </w:t>
      </w:r>
      <w:r w:rsidR="00914A6E" w:rsidRPr="00403E6A">
        <w:rPr>
          <w:rFonts w:ascii="Times New Roman" w:hAnsi="Times New Roman" w:cs="Times New Roman"/>
          <w:sz w:val="24"/>
          <w:szCs w:val="24"/>
        </w:rPr>
        <w:t>been necessary</w:t>
      </w:r>
      <w:r w:rsidR="004C6773" w:rsidRPr="00403E6A">
        <w:rPr>
          <w:rFonts w:ascii="Times New Roman" w:hAnsi="Times New Roman" w:cs="Times New Roman"/>
          <w:sz w:val="24"/>
          <w:szCs w:val="24"/>
        </w:rPr>
        <w:t>,</w:t>
      </w:r>
      <w:r w:rsidR="00914A6E" w:rsidRPr="00403E6A">
        <w:rPr>
          <w:rFonts w:ascii="Times New Roman" w:hAnsi="Times New Roman" w:cs="Times New Roman"/>
          <w:sz w:val="24"/>
          <w:szCs w:val="24"/>
        </w:rPr>
        <w:t xml:space="preserve"> </w:t>
      </w:r>
      <w:r w:rsidR="006D7928" w:rsidRPr="00403E6A">
        <w:rPr>
          <w:rFonts w:ascii="Times New Roman" w:hAnsi="Times New Roman" w:cs="Times New Roman"/>
          <w:sz w:val="24"/>
          <w:szCs w:val="24"/>
        </w:rPr>
        <w:t>other aspects have directly led</w:t>
      </w:r>
      <w:r w:rsidR="004C6773" w:rsidRPr="00403E6A">
        <w:rPr>
          <w:rFonts w:ascii="Times New Roman" w:hAnsi="Times New Roman" w:cs="Times New Roman"/>
          <w:sz w:val="24"/>
          <w:szCs w:val="24"/>
        </w:rPr>
        <w:t xml:space="preserve"> </w:t>
      </w:r>
      <w:r w:rsidR="006D7928" w:rsidRPr="00403E6A">
        <w:rPr>
          <w:rFonts w:ascii="Times New Roman" w:hAnsi="Times New Roman" w:cs="Times New Roman"/>
          <w:sz w:val="24"/>
          <w:szCs w:val="24"/>
        </w:rPr>
        <w:t>to increase in prices and concentrated markets.</w:t>
      </w:r>
      <w:r w:rsidR="00F3442C">
        <w:rPr>
          <w:rStyle w:val="FootnoteReference"/>
          <w:rFonts w:ascii="Times New Roman" w:hAnsi="Times New Roman" w:cs="Times New Roman"/>
          <w:sz w:val="24"/>
          <w:szCs w:val="24"/>
        </w:rPr>
        <w:footnoteReference w:id="221"/>
      </w:r>
      <w:r w:rsidR="006D7928" w:rsidRPr="00403E6A">
        <w:rPr>
          <w:rFonts w:ascii="Times New Roman" w:hAnsi="Times New Roman" w:cs="Times New Roman"/>
          <w:sz w:val="24"/>
          <w:szCs w:val="24"/>
        </w:rPr>
        <w:t xml:space="preserve"> </w:t>
      </w:r>
      <w:r w:rsidR="0098426F" w:rsidRPr="00403E6A">
        <w:rPr>
          <w:rFonts w:ascii="Times New Roman" w:hAnsi="Times New Roman" w:cs="Times New Roman"/>
          <w:sz w:val="24"/>
          <w:szCs w:val="24"/>
        </w:rPr>
        <w:t xml:space="preserve">This </w:t>
      </w:r>
      <w:r w:rsidR="00775036" w:rsidRPr="00403E6A">
        <w:rPr>
          <w:rFonts w:ascii="Times New Roman" w:hAnsi="Times New Roman" w:cs="Times New Roman"/>
          <w:sz w:val="24"/>
          <w:szCs w:val="24"/>
        </w:rPr>
        <w:t xml:space="preserve">proposal would reverse </w:t>
      </w:r>
      <w:r w:rsidR="00B1126C" w:rsidRPr="00403E6A">
        <w:rPr>
          <w:rFonts w:ascii="Times New Roman" w:hAnsi="Times New Roman" w:cs="Times New Roman"/>
          <w:sz w:val="24"/>
          <w:szCs w:val="24"/>
        </w:rPr>
        <w:t>excessive</w:t>
      </w:r>
      <w:r w:rsidR="00775036" w:rsidRPr="00403E6A">
        <w:rPr>
          <w:rFonts w:ascii="Times New Roman" w:hAnsi="Times New Roman" w:cs="Times New Roman"/>
          <w:sz w:val="24"/>
          <w:szCs w:val="24"/>
        </w:rPr>
        <w:t xml:space="preserve"> trends of vertical integration</w:t>
      </w:r>
      <w:r w:rsidR="006C4921" w:rsidRPr="00403E6A">
        <w:rPr>
          <w:rFonts w:ascii="Times New Roman" w:hAnsi="Times New Roman" w:cs="Times New Roman"/>
          <w:sz w:val="24"/>
          <w:szCs w:val="24"/>
        </w:rPr>
        <w:t xml:space="preserve"> </w:t>
      </w:r>
      <w:r w:rsidR="00B1126C" w:rsidRPr="00403E6A">
        <w:rPr>
          <w:rFonts w:ascii="Times New Roman" w:hAnsi="Times New Roman" w:cs="Times New Roman"/>
          <w:sz w:val="24"/>
          <w:szCs w:val="24"/>
        </w:rPr>
        <w:t xml:space="preserve">and </w:t>
      </w:r>
      <w:r w:rsidR="006C4921" w:rsidRPr="00403E6A">
        <w:rPr>
          <w:rFonts w:ascii="Times New Roman" w:hAnsi="Times New Roman" w:cs="Times New Roman"/>
          <w:sz w:val="24"/>
          <w:szCs w:val="24"/>
        </w:rPr>
        <w:t xml:space="preserve">would </w:t>
      </w:r>
      <w:r w:rsidR="00EA6CED" w:rsidRPr="00403E6A">
        <w:rPr>
          <w:rFonts w:ascii="Times New Roman" w:hAnsi="Times New Roman" w:cs="Times New Roman"/>
          <w:sz w:val="24"/>
          <w:szCs w:val="24"/>
        </w:rPr>
        <w:t xml:space="preserve">rely on </w:t>
      </w:r>
      <w:r w:rsidR="003F18CA" w:rsidRPr="00403E6A">
        <w:rPr>
          <w:rFonts w:ascii="Times New Roman" w:hAnsi="Times New Roman" w:cs="Times New Roman"/>
          <w:sz w:val="24"/>
          <w:szCs w:val="24"/>
        </w:rPr>
        <w:t>contractual affiliation</w:t>
      </w:r>
      <w:r w:rsidR="007628C6" w:rsidRPr="00403E6A">
        <w:rPr>
          <w:rFonts w:ascii="Times New Roman" w:hAnsi="Times New Roman" w:cs="Times New Roman"/>
          <w:sz w:val="24"/>
          <w:szCs w:val="24"/>
        </w:rPr>
        <w:t xml:space="preserve"> between providers</w:t>
      </w:r>
      <w:r w:rsidR="00A048E9">
        <w:rPr>
          <w:rFonts w:ascii="Times New Roman" w:hAnsi="Times New Roman" w:cs="Times New Roman"/>
          <w:sz w:val="24"/>
          <w:szCs w:val="24"/>
        </w:rPr>
        <w:t>,</w:t>
      </w:r>
      <w:r w:rsidR="00334316">
        <w:rPr>
          <w:rStyle w:val="FootnoteReference"/>
          <w:rFonts w:ascii="Times New Roman" w:hAnsi="Times New Roman" w:cs="Times New Roman"/>
          <w:sz w:val="24"/>
          <w:szCs w:val="24"/>
        </w:rPr>
        <w:footnoteReference w:id="222"/>
      </w:r>
      <w:r w:rsidR="00AE0D85" w:rsidRPr="00403E6A">
        <w:rPr>
          <w:rFonts w:ascii="Times New Roman" w:hAnsi="Times New Roman" w:cs="Times New Roman"/>
          <w:sz w:val="24"/>
          <w:szCs w:val="24"/>
        </w:rPr>
        <w:t xml:space="preserve"> as opposed to</w:t>
      </w:r>
      <w:r w:rsidR="00AC7B37" w:rsidRPr="00403E6A">
        <w:rPr>
          <w:rFonts w:ascii="Times New Roman" w:hAnsi="Times New Roman" w:cs="Times New Roman"/>
          <w:sz w:val="24"/>
          <w:szCs w:val="24"/>
        </w:rPr>
        <w:t xml:space="preserve"> direct</w:t>
      </w:r>
      <w:r w:rsidR="00AE0D85" w:rsidRPr="00403E6A">
        <w:rPr>
          <w:rFonts w:ascii="Times New Roman" w:hAnsi="Times New Roman" w:cs="Times New Roman"/>
          <w:sz w:val="24"/>
          <w:szCs w:val="24"/>
        </w:rPr>
        <w:t xml:space="preserve"> acquisitions</w:t>
      </w:r>
      <w:r w:rsidR="006C4921" w:rsidRPr="00403E6A">
        <w:rPr>
          <w:rFonts w:ascii="Times New Roman" w:hAnsi="Times New Roman" w:cs="Times New Roman"/>
          <w:sz w:val="24"/>
          <w:szCs w:val="24"/>
        </w:rPr>
        <w:t xml:space="preserve">. </w:t>
      </w:r>
      <w:r w:rsidR="001D509E" w:rsidRPr="00403E6A">
        <w:rPr>
          <w:rFonts w:ascii="Times New Roman" w:hAnsi="Times New Roman" w:cs="Times New Roman"/>
          <w:sz w:val="24"/>
          <w:szCs w:val="24"/>
        </w:rPr>
        <w:t xml:space="preserve">This would </w:t>
      </w:r>
      <w:r w:rsidR="00571E24" w:rsidRPr="00403E6A">
        <w:rPr>
          <w:rFonts w:ascii="Times New Roman" w:hAnsi="Times New Roman" w:cs="Times New Roman"/>
          <w:sz w:val="24"/>
          <w:szCs w:val="24"/>
        </w:rPr>
        <w:t xml:space="preserve">temper fears of going back to fragmented health care. </w:t>
      </w:r>
      <w:r w:rsidR="00D515E1" w:rsidRPr="00403E6A">
        <w:rPr>
          <w:rFonts w:ascii="Times New Roman" w:hAnsi="Times New Roman" w:cs="Times New Roman"/>
          <w:sz w:val="24"/>
          <w:szCs w:val="24"/>
        </w:rPr>
        <w:t xml:space="preserve">Moreover, this structure would allow </w:t>
      </w:r>
      <w:r w:rsidR="007812D2" w:rsidRPr="00403E6A">
        <w:rPr>
          <w:rFonts w:ascii="Times New Roman" w:hAnsi="Times New Roman" w:cs="Times New Roman"/>
          <w:sz w:val="24"/>
          <w:szCs w:val="24"/>
        </w:rPr>
        <w:t xml:space="preserve">for decentralization of health care dollars, which would </w:t>
      </w:r>
      <w:r w:rsidR="00551A47" w:rsidRPr="00403E6A">
        <w:rPr>
          <w:rFonts w:ascii="Times New Roman" w:hAnsi="Times New Roman" w:cs="Times New Roman"/>
          <w:sz w:val="24"/>
          <w:szCs w:val="24"/>
        </w:rPr>
        <w:t xml:space="preserve">weaken the market power of existing provider networks. Managed care structures keep money in the hands of </w:t>
      </w:r>
      <w:r w:rsidR="00345B46" w:rsidRPr="00403E6A">
        <w:rPr>
          <w:rFonts w:ascii="Times New Roman" w:hAnsi="Times New Roman" w:cs="Times New Roman"/>
          <w:sz w:val="24"/>
          <w:szCs w:val="24"/>
        </w:rPr>
        <w:t>central players, which inherently raises costs a</w:t>
      </w:r>
      <w:r w:rsidR="005946D7" w:rsidRPr="00403E6A">
        <w:rPr>
          <w:rFonts w:ascii="Times New Roman" w:hAnsi="Times New Roman" w:cs="Times New Roman"/>
          <w:sz w:val="24"/>
          <w:szCs w:val="24"/>
        </w:rPr>
        <w:t>s</w:t>
      </w:r>
      <w:r w:rsidR="00345B46" w:rsidRPr="00403E6A">
        <w:rPr>
          <w:rFonts w:ascii="Times New Roman" w:hAnsi="Times New Roman" w:cs="Times New Roman"/>
          <w:sz w:val="24"/>
          <w:szCs w:val="24"/>
        </w:rPr>
        <w:t xml:space="preserve"> middlemen </w:t>
      </w:r>
      <w:r w:rsidR="00AC7B37" w:rsidRPr="00403E6A">
        <w:rPr>
          <w:rFonts w:ascii="Times New Roman" w:hAnsi="Times New Roman" w:cs="Times New Roman"/>
          <w:sz w:val="24"/>
          <w:szCs w:val="24"/>
        </w:rPr>
        <w:t>such as Pharmacy Benefit Managers get</w:t>
      </w:r>
      <w:r w:rsidR="00345B46" w:rsidRPr="00403E6A">
        <w:rPr>
          <w:rFonts w:ascii="Times New Roman" w:hAnsi="Times New Roman" w:cs="Times New Roman"/>
          <w:sz w:val="24"/>
          <w:szCs w:val="24"/>
        </w:rPr>
        <w:t xml:space="preserve"> their hands in the pot. </w:t>
      </w:r>
      <w:r w:rsidR="00E375ED" w:rsidRPr="00403E6A">
        <w:rPr>
          <w:rFonts w:ascii="Times New Roman" w:hAnsi="Times New Roman" w:cs="Times New Roman"/>
          <w:sz w:val="24"/>
          <w:szCs w:val="24"/>
        </w:rPr>
        <w:t>Our current structure require</w:t>
      </w:r>
      <w:r w:rsidR="00AF2FB3" w:rsidRPr="00403E6A">
        <w:rPr>
          <w:rFonts w:ascii="Times New Roman" w:hAnsi="Times New Roman" w:cs="Times New Roman"/>
          <w:sz w:val="24"/>
          <w:szCs w:val="24"/>
        </w:rPr>
        <w:t xml:space="preserve">s </w:t>
      </w:r>
      <w:r w:rsidR="006B0231" w:rsidRPr="00403E6A">
        <w:rPr>
          <w:rFonts w:ascii="Times New Roman" w:hAnsi="Times New Roman" w:cs="Times New Roman"/>
          <w:sz w:val="24"/>
          <w:szCs w:val="24"/>
        </w:rPr>
        <w:t xml:space="preserve">third-party payers to pay for services that could be provided for cheaper </w:t>
      </w:r>
      <w:r w:rsidR="00020A1D" w:rsidRPr="00403E6A">
        <w:rPr>
          <w:rFonts w:ascii="Times New Roman" w:hAnsi="Times New Roman" w:cs="Times New Roman"/>
          <w:sz w:val="24"/>
          <w:szCs w:val="24"/>
        </w:rPr>
        <w:t>over the counter</w:t>
      </w:r>
      <w:r w:rsidR="006B0231" w:rsidRPr="00403E6A">
        <w:rPr>
          <w:rFonts w:ascii="Times New Roman" w:hAnsi="Times New Roman" w:cs="Times New Roman"/>
          <w:sz w:val="24"/>
          <w:szCs w:val="24"/>
        </w:rPr>
        <w:t xml:space="preserve">. </w:t>
      </w:r>
      <w:r w:rsidR="00644A95" w:rsidRPr="00403E6A">
        <w:rPr>
          <w:rFonts w:ascii="Times New Roman" w:hAnsi="Times New Roman" w:cs="Times New Roman"/>
          <w:sz w:val="24"/>
          <w:szCs w:val="24"/>
        </w:rPr>
        <w:t xml:space="preserve">This would be </w:t>
      </w:r>
      <w:r w:rsidR="00F749C5" w:rsidRPr="00403E6A">
        <w:rPr>
          <w:rFonts w:ascii="Times New Roman" w:hAnsi="Times New Roman" w:cs="Times New Roman"/>
          <w:sz w:val="24"/>
          <w:szCs w:val="24"/>
        </w:rPr>
        <w:t xml:space="preserve">as if </w:t>
      </w:r>
      <w:r w:rsidR="005D5809" w:rsidRPr="00403E6A">
        <w:rPr>
          <w:rFonts w:ascii="Times New Roman" w:hAnsi="Times New Roman" w:cs="Times New Roman"/>
          <w:sz w:val="24"/>
          <w:szCs w:val="24"/>
        </w:rPr>
        <w:t xml:space="preserve">consumers relied on home insurance to pay for new windows and doors. If certain services can be provided without </w:t>
      </w:r>
      <w:r w:rsidR="007E3281" w:rsidRPr="00403E6A">
        <w:rPr>
          <w:rFonts w:ascii="Times New Roman" w:hAnsi="Times New Roman" w:cs="Times New Roman"/>
          <w:sz w:val="24"/>
          <w:szCs w:val="24"/>
        </w:rPr>
        <w:t>third parties</w:t>
      </w:r>
      <w:r w:rsidR="005D5809" w:rsidRPr="00403E6A">
        <w:rPr>
          <w:rFonts w:ascii="Times New Roman" w:hAnsi="Times New Roman" w:cs="Times New Roman"/>
          <w:sz w:val="24"/>
          <w:szCs w:val="24"/>
        </w:rPr>
        <w:t>, then th</w:t>
      </w:r>
      <w:r w:rsidR="007E3281" w:rsidRPr="00403E6A">
        <w:rPr>
          <w:rFonts w:ascii="Times New Roman" w:hAnsi="Times New Roman" w:cs="Times New Roman"/>
          <w:sz w:val="24"/>
          <w:szCs w:val="24"/>
        </w:rPr>
        <w:t xml:space="preserve">e system should support it. The DPC model does just this. </w:t>
      </w:r>
    </w:p>
    <w:p w14:paraId="34F82E05" w14:textId="2671B8D4" w:rsidR="009D028F" w:rsidRPr="00712556" w:rsidRDefault="0079017B" w:rsidP="00712556">
      <w:pPr>
        <w:spacing w:after="0" w:line="480" w:lineRule="auto"/>
        <w:jc w:val="center"/>
        <w:rPr>
          <w:rFonts w:ascii="Times New Roman" w:hAnsi="Times New Roman" w:cs="Times New Roman"/>
          <w:sz w:val="24"/>
          <w:szCs w:val="24"/>
        </w:rPr>
      </w:pPr>
      <w:r w:rsidRPr="00712556">
        <w:rPr>
          <w:rFonts w:ascii="Times New Roman" w:hAnsi="Times New Roman" w:cs="Times New Roman"/>
          <w:b/>
          <w:bCs/>
          <w:sz w:val="24"/>
          <w:szCs w:val="24"/>
        </w:rPr>
        <w:t>CONCLUSION</w:t>
      </w:r>
    </w:p>
    <w:p w14:paraId="258B47AE" w14:textId="07D356E7" w:rsidR="009D028F" w:rsidRPr="00403E6A" w:rsidRDefault="009D028F" w:rsidP="009D028F">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ab/>
        <w:t xml:space="preserve">The conversation surrounding the cost of health care in the United States cannot </w:t>
      </w:r>
      <w:r w:rsidR="00C974E6" w:rsidRPr="00403E6A">
        <w:rPr>
          <w:rFonts w:ascii="Times New Roman" w:hAnsi="Times New Roman" w:cs="Times New Roman"/>
          <w:sz w:val="24"/>
          <w:szCs w:val="24"/>
        </w:rPr>
        <w:t xml:space="preserve">ignore the issue of prices charged for services. </w:t>
      </w:r>
      <w:r w:rsidR="00795360" w:rsidRPr="00403E6A">
        <w:rPr>
          <w:rFonts w:ascii="Times New Roman" w:hAnsi="Times New Roman" w:cs="Times New Roman"/>
          <w:sz w:val="24"/>
          <w:szCs w:val="24"/>
        </w:rPr>
        <w:t xml:space="preserve">As </w:t>
      </w:r>
      <w:r w:rsidR="00FE776F" w:rsidRPr="00403E6A">
        <w:rPr>
          <w:rFonts w:ascii="Times New Roman" w:hAnsi="Times New Roman" w:cs="Times New Roman"/>
          <w:sz w:val="24"/>
          <w:szCs w:val="24"/>
        </w:rPr>
        <w:t xml:space="preserve">providers have been incentivized </w:t>
      </w:r>
      <w:r w:rsidR="00867908" w:rsidRPr="00403E6A">
        <w:rPr>
          <w:rFonts w:ascii="Times New Roman" w:hAnsi="Times New Roman" w:cs="Times New Roman"/>
          <w:sz w:val="24"/>
          <w:szCs w:val="24"/>
        </w:rPr>
        <w:t xml:space="preserve">to consolidate, their leverage has increased. This has </w:t>
      </w:r>
      <w:r w:rsidR="00F17A20" w:rsidRPr="00403E6A">
        <w:rPr>
          <w:rFonts w:ascii="Times New Roman" w:hAnsi="Times New Roman" w:cs="Times New Roman"/>
          <w:sz w:val="24"/>
          <w:szCs w:val="24"/>
        </w:rPr>
        <w:t xml:space="preserve">had perverse effects on </w:t>
      </w:r>
      <w:r w:rsidR="003069B8" w:rsidRPr="00403E6A">
        <w:rPr>
          <w:rFonts w:ascii="Times New Roman" w:hAnsi="Times New Roman" w:cs="Times New Roman"/>
          <w:sz w:val="24"/>
          <w:szCs w:val="24"/>
        </w:rPr>
        <w:t>consumers who</w:t>
      </w:r>
      <w:r w:rsidR="00DC68E7" w:rsidRPr="00403E6A">
        <w:rPr>
          <w:rFonts w:ascii="Times New Roman" w:hAnsi="Times New Roman" w:cs="Times New Roman"/>
          <w:sz w:val="24"/>
          <w:szCs w:val="24"/>
        </w:rPr>
        <w:t xml:space="preserve"> are</w:t>
      </w:r>
      <w:r w:rsidR="003069B8" w:rsidRPr="00403E6A">
        <w:rPr>
          <w:rFonts w:ascii="Times New Roman" w:hAnsi="Times New Roman" w:cs="Times New Roman"/>
          <w:sz w:val="24"/>
          <w:szCs w:val="24"/>
        </w:rPr>
        <w:t xml:space="preserve"> insured through private plans. </w:t>
      </w:r>
      <w:r w:rsidR="001351A1" w:rsidRPr="00403E6A">
        <w:rPr>
          <w:rFonts w:ascii="Times New Roman" w:hAnsi="Times New Roman" w:cs="Times New Roman"/>
          <w:sz w:val="24"/>
          <w:szCs w:val="24"/>
        </w:rPr>
        <w:t xml:space="preserve">Moreover, the absence of </w:t>
      </w:r>
      <w:r w:rsidR="00804976" w:rsidRPr="00403E6A">
        <w:rPr>
          <w:rFonts w:ascii="Times New Roman" w:hAnsi="Times New Roman" w:cs="Times New Roman"/>
          <w:sz w:val="24"/>
          <w:szCs w:val="24"/>
        </w:rPr>
        <w:t xml:space="preserve">assertive antitrust measures and judicial mistakes have enabled further consolidation. </w:t>
      </w:r>
      <w:r w:rsidR="004C4D2A" w:rsidRPr="00403E6A">
        <w:rPr>
          <w:rFonts w:ascii="Times New Roman" w:hAnsi="Times New Roman" w:cs="Times New Roman"/>
          <w:sz w:val="24"/>
          <w:szCs w:val="24"/>
        </w:rPr>
        <w:t xml:space="preserve">All of this has led to further concentrated insurance markets as well. To reverse these trends, policymakers </w:t>
      </w:r>
      <w:r w:rsidR="00661EBE" w:rsidRPr="00403E6A">
        <w:rPr>
          <w:rFonts w:ascii="Times New Roman" w:hAnsi="Times New Roman" w:cs="Times New Roman"/>
          <w:sz w:val="24"/>
          <w:szCs w:val="24"/>
        </w:rPr>
        <w:t xml:space="preserve">ought to </w:t>
      </w:r>
      <w:r w:rsidR="00A22BE6" w:rsidRPr="00403E6A">
        <w:rPr>
          <w:rFonts w:ascii="Times New Roman" w:hAnsi="Times New Roman" w:cs="Times New Roman"/>
          <w:sz w:val="24"/>
          <w:szCs w:val="24"/>
        </w:rPr>
        <w:t xml:space="preserve">pursue consumer driven proposals that </w:t>
      </w:r>
      <w:r w:rsidR="00A22BE6" w:rsidRPr="00403E6A">
        <w:rPr>
          <w:rFonts w:ascii="Times New Roman" w:hAnsi="Times New Roman" w:cs="Times New Roman"/>
          <w:sz w:val="24"/>
          <w:szCs w:val="24"/>
        </w:rPr>
        <w:lastRenderedPageBreak/>
        <w:t>divest power in the hands of a few monopolies. Avik Roy and Dr. Ryan Neuhofel</w:t>
      </w:r>
      <w:r w:rsidR="006852AC" w:rsidRPr="00403E6A">
        <w:rPr>
          <w:rFonts w:ascii="Times New Roman" w:hAnsi="Times New Roman" w:cs="Times New Roman"/>
          <w:sz w:val="24"/>
          <w:szCs w:val="24"/>
        </w:rPr>
        <w:t xml:space="preserve">’s proposals are a good place to start to lower the prices of medical services provided in the United States. </w:t>
      </w:r>
    </w:p>
    <w:p w14:paraId="07B4A2A9" w14:textId="77777777" w:rsidR="009C2D3F" w:rsidRPr="00403E6A" w:rsidRDefault="009C2D3F" w:rsidP="009C2D3F">
      <w:pPr>
        <w:spacing w:after="0" w:line="480" w:lineRule="auto"/>
        <w:rPr>
          <w:rFonts w:ascii="Times New Roman" w:hAnsi="Times New Roman" w:cs="Times New Roman"/>
          <w:sz w:val="24"/>
          <w:szCs w:val="24"/>
        </w:rPr>
      </w:pPr>
    </w:p>
    <w:p w14:paraId="7A64164C" w14:textId="37D0EE0F" w:rsidR="00047145" w:rsidRPr="00403E6A" w:rsidRDefault="00047145" w:rsidP="00BD631E">
      <w:pPr>
        <w:spacing w:after="0" w:line="480" w:lineRule="auto"/>
        <w:rPr>
          <w:rFonts w:ascii="Times New Roman" w:hAnsi="Times New Roman" w:cs="Times New Roman"/>
          <w:sz w:val="24"/>
          <w:szCs w:val="24"/>
        </w:rPr>
      </w:pPr>
    </w:p>
    <w:p w14:paraId="30F2F559" w14:textId="50AEF23C" w:rsidR="005E5B95" w:rsidRPr="00403E6A" w:rsidRDefault="005E5B95" w:rsidP="000957CA">
      <w:pPr>
        <w:spacing w:after="0" w:line="480" w:lineRule="auto"/>
        <w:rPr>
          <w:rFonts w:ascii="Times New Roman" w:hAnsi="Times New Roman" w:cs="Times New Roman"/>
          <w:sz w:val="24"/>
          <w:szCs w:val="24"/>
        </w:rPr>
      </w:pPr>
      <w:r w:rsidRPr="00403E6A">
        <w:rPr>
          <w:rFonts w:ascii="Times New Roman" w:hAnsi="Times New Roman" w:cs="Times New Roman"/>
          <w:sz w:val="24"/>
          <w:szCs w:val="24"/>
        </w:rPr>
        <w:t xml:space="preserve"> </w:t>
      </w:r>
      <w:r w:rsidR="00E450C8" w:rsidRPr="00403E6A">
        <w:rPr>
          <w:rFonts w:ascii="Times New Roman" w:hAnsi="Times New Roman" w:cs="Times New Roman"/>
          <w:sz w:val="24"/>
          <w:szCs w:val="24"/>
        </w:rPr>
        <w:tab/>
      </w:r>
      <w:bookmarkEnd w:id="0"/>
    </w:p>
    <w:sectPr w:rsidR="005E5B95" w:rsidRPr="00403E6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EB1A9" w14:textId="77777777" w:rsidR="005E63AA" w:rsidRDefault="005E63AA" w:rsidP="00BD060C">
      <w:pPr>
        <w:spacing w:after="0" w:line="240" w:lineRule="auto"/>
      </w:pPr>
      <w:r>
        <w:separator/>
      </w:r>
    </w:p>
  </w:endnote>
  <w:endnote w:type="continuationSeparator" w:id="0">
    <w:p w14:paraId="0660536F" w14:textId="77777777" w:rsidR="005E63AA" w:rsidRDefault="005E63AA" w:rsidP="00BD0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98319"/>
      <w:docPartObj>
        <w:docPartGallery w:val="Page Numbers (Bottom of Page)"/>
        <w:docPartUnique/>
      </w:docPartObj>
    </w:sdtPr>
    <w:sdtEndPr>
      <w:rPr>
        <w:noProof/>
      </w:rPr>
    </w:sdtEndPr>
    <w:sdtContent>
      <w:p w14:paraId="6240F702" w14:textId="35D0A4FA" w:rsidR="006E0802" w:rsidRDefault="006E08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DBAF30" w14:textId="77777777" w:rsidR="006E0802" w:rsidRDefault="006E0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63B4" w14:textId="77777777" w:rsidR="005E63AA" w:rsidRDefault="005E63AA" w:rsidP="00BD060C">
      <w:pPr>
        <w:spacing w:after="0" w:line="240" w:lineRule="auto"/>
      </w:pPr>
      <w:r>
        <w:separator/>
      </w:r>
    </w:p>
  </w:footnote>
  <w:footnote w:type="continuationSeparator" w:id="0">
    <w:p w14:paraId="57B7188E" w14:textId="77777777" w:rsidR="005E63AA" w:rsidRDefault="005E63AA" w:rsidP="00BD060C">
      <w:pPr>
        <w:spacing w:after="0" w:line="240" w:lineRule="auto"/>
      </w:pPr>
      <w:r>
        <w:continuationSeparator/>
      </w:r>
    </w:p>
  </w:footnote>
  <w:footnote w:id="1">
    <w:p w14:paraId="62B48A2E" w14:textId="01A5DD1D" w:rsidR="00A14093" w:rsidRPr="000E14DB" w:rsidRDefault="00A14093">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005C5B78" w:rsidRPr="005C5B78">
        <w:rPr>
          <w:rFonts w:ascii="Times New Roman" w:hAnsi="Times New Roman" w:cs="Times New Roman"/>
        </w:rPr>
        <w:t>B</w:t>
      </w:r>
      <w:r w:rsidR="000F4B69">
        <w:rPr>
          <w:rFonts w:ascii="Times New Roman" w:hAnsi="Times New Roman" w:cs="Times New Roman"/>
          <w:smallCaps/>
        </w:rPr>
        <w:t>arry</w:t>
      </w:r>
      <w:r w:rsidR="005C5B78" w:rsidRPr="005C5B78">
        <w:rPr>
          <w:rFonts w:ascii="Times New Roman" w:hAnsi="Times New Roman" w:cs="Times New Roman"/>
          <w:smallCaps/>
        </w:rPr>
        <w:t xml:space="preserve"> R. F</w:t>
      </w:r>
      <w:r w:rsidR="000F4B69">
        <w:rPr>
          <w:rFonts w:ascii="Times New Roman" w:hAnsi="Times New Roman" w:cs="Times New Roman"/>
          <w:smallCaps/>
        </w:rPr>
        <w:t>urrow</w:t>
      </w:r>
      <w:r w:rsidR="005C5B78" w:rsidRPr="005C5B78">
        <w:rPr>
          <w:rFonts w:ascii="Times New Roman" w:hAnsi="Times New Roman" w:cs="Times New Roman"/>
          <w:smallCaps/>
        </w:rPr>
        <w:t>, E</w:t>
      </w:r>
      <w:r w:rsidR="000F4B69">
        <w:rPr>
          <w:rFonts w:ascii="Times New Roman" w:hAnsi="Times New Roman" w:cs="Times New Roman"/>
          <w:smallCaps/>
        </w:rPr>
        <w:t>t</w:t>
      </w:r>
      <w:r w:rsidR="005C5B78" w:rsidRPr="005C5B78">
        <w:rPr>
          <w:rFonts w:ascii="Times New Roman" w:hAnsi="Times New Roman" w:cs="Times New Roman"/>
          <w:smallCaps/>
        </w:rPr>
        <w:t xml:space="preserve"> A</w:t>
      </w:r>
      <w:r w:rsidR="000F4B69">
        <w:rPr>
          <w:rFonts w:ascii="Times New Roman" w:hAnsi="Times New Roman" w:cs="Times New Roman"/>
          <w:smallCaps/>
        </w:rPr>
        <w:t>t</w:t>
      </w:r>
      <w:r w:rsidR="005C5B78" w:rsidRPr="005C5B78">
        <w:rPr>
          <w:rFonts w:ascii="Times New Roman" w:hAnsi="Times New Roman" w:cs="Times New Roman"/>
          <w:smallCaps/>
        </w:rPr>
        <w:t>., H</w:t>
      </w:r>
      <w:r w:rsidR="000F4B69">
        <w:rPr>
          <w:rFonts w:ascii="Times New Roman" w:hAnsi="Times New Roman" w:cs="Times New Roman"/>
          <w:smallCaps/>
        </w:rPr>
        <w:t>ealth</w:t>
      </w:r>
      <w:r w:rsidR="005C5B78" w:rsidRPr="005C5B78">
        <w:rPr>
          <w:rFonts w:ascii="Times New Roman" w:hAnsi="Times New Roman" w:cs="Times New Roman"/>
          <w:smallCaps/>
        </w:rPr>
        <w:t xml:space="preserve"> L</w:t>
      </w:r>
      <w:r w:rsidR="000F4B69">
        <w:rPr>
          <w:rFonts w:ascii="Times New Roman" w:hAnsi="Times New Roman" w:cs="Times New Roman"/>
          <w:smallCaps/>
        </w:rPr>
        <w:t>aw</w:t>
      </w:r>
      <w:r w:rsidR="005C5B78" w:rsidRPr="005C5B78">
        <w:rPr>
          <w:rFonts w:ascii="Times New Roman" w:hAnsi="Times New Roman" w:cs="Times New Roman"/>
          <w:smallCaps/>
        </w:rPr>
        <w:t>: C</w:t>
      </w:r>
      <w:r w:rsidR="000F4B69">
        <w:rPr>
          <w:rFonts w:ascii="Times New Roman" w:hAnsi="Times New Roman" w:cs="Times New Roman"/>
          <w:smallCaps/>
        </w:rPr>
        <w:t>ases</w:t>
      </w:r>
      <w:r w:rsidR="005C5B78" w:rsidRPr="005C5B78">
        <w:rPr>
          <w:rFonts w:ascii="Times New Roman" w:hAnsi="Times New Roman" w:cs="Times New Roman"/>
          <w:smallCaps/>
        </w:rPr>
        <w:t>, M</w:t>
      </w:r>
      <w:r w:rsidR="000F4B69">
        <w:rPr>
          <w:rFonts w:ascii="Times New Roman" w:hAnsi="Times New Roman" w:cs="Times New Roman"/>
          <w:smallCaps/>
        </w:rPr>
        <w:t>aterials</w:t>
      </w:r>
      <w:r w:rsidR="005C5B78" w:rsidRPr="005C5B78">
        <w:rPr>
          <w:rFonts w:ascii="Times New Roman" w:hAnsi="Times New Roman" w:cs="Times New Roman"/>
          <w:smallCaps/>
        </w:rPr>
        <w:t xml:space="preserve"> A</w:t>
      </w:r>
      <w:r w:rsidR="000F4B69">
        <w:rPr>
          <w:rFonts w:ascii="Times New Roman" w:hAnsi="Times New Roman" w:cs="Times New Roman"/>
          <w:smallCaps/>
        </w:rPr>
        <w:t>nd</w:t>
      </w:r>
      <w:r w:rsidR="005C5B78" w:rsidRPr="005C5B78">
        <w:rPr>
          <w:rFonts w:ascii="Times New Roman" w:hAnsi="Times New Roman" w:cs="Times New Roman"/>
          <w:smallCaps/>
        </w:rPr>
        <w:t xml:space="preserve"> P</w:t>
      </w:r>
      <w:r w:rsidR="000F4B69">
        <w:rPr>
          <w:rFonts w:ascii="Times New Roman" w:hAnsi="Times New Roman" w:cs="Times New Roman"/>
          <w:smallCaps/>
        </w:rPr>
        <w:t>roblems</w:t>
      </w:r>
      <w:r w:rsidR="005C5B78" w:rsidRPr="005C5B78">
        <w:rPr>
          <w:rFonts w:ascii="Times New Roman" w:hAnsi="Times New Roman" w:cs="Times New Roman"/>
        </w:rPr>
        <w:t xml:space="preserve"> (8th ed., West Academic 2018).</w:t>
      </w:r>
      <w:r w:rsidR="00890BB1" w:rsidRPr="000E14DB">
        <w:rPr>
          <w:rFonts w:ascii="Times New Roman" w:hAnsi="Times New Roman" w:cs="Times New Roman"/>
        </w:rPr>
        <w:t xml:space="preserve"> </w:t>
      </w:r>
    </w:p>
  </w:footnote>
  <w:footnote w:id="2">
    <w:p w14:paraId="71A83582" w14:textId="5CFB9637" w:rsidR="008E25FC" w:rsidRPr="000E14DB" w:rsidRDefault="008E25FC">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00A81D7D" w:rsidRPr="000E14DB">
        <w:rPr>
          <w:rFonts w:ascii="Times New Roman" w:hAnsi="Times New Roman" w:cs="Times New Roman"/>
          <w:i/>
          <w:iCs/>
        </w:rPr>
        <w:t>Id</w:t>
      </w:r>
      <w:r w:rsidR="002B14D1" w:rsidRPr="000E14DB">
        <w:rPr>
          <w:rFonts w:ascii="Times New Roman" w:hAnsi="Times New Roman" w:cs="Times New Roman"/>
        </w:rPr>
        <w:t>.</w:t>
      </w:r>
    </w:p>
  </w:footnote>
  <w:footnote w:id="3">
    <w:p w14:paraId="3BAA76A9" w14:textId="1242FC2D" w:rsidR="003E590B" w:rsidRPr="000E14DB" w:rsidRDefault="003E590B">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000A086B" w:rsidRPr="000E14DB">
        <w:rPr>
          <w:rFonts w:ascii="Times New Roman" w:hAnsi="Times New Roman" w:cs="Times New Roman"/>
        </w:rPr>
        <w:t xml:space="preserve">Centers for Medicare &amp; Medicaid Services, </w:t>
      </w:r>
      <w:r w:rsidR="009C09CF" w:rsidRPr="000E14DB">
        <w:rPr>
          <w:rFonts w:ascii="Times New Roman" w:hAnsi="Times New Roman" w:cs="Times New Roman"/>
        </w:rPr>
        <w:t>National Health Expenditure Data</w:t>
      </w:r>
      <w:r w:rsidR="005C5960" w:rsidRPr="000E14DB">
        <w:rPr>
          <w:rFonts w:ascii="Times New Roman" w:hAnsi="Times New Roman" w:cs="Times New Roman"/>
        </w:rPr>
        <w:t>,</w:t>
      </w:r>
      <w:r w:rsidR="009C09CF" w:rsidRPr="000E14DB">
        <w:rPr>
          <w:rFonts w:ascii="Times New Roman" w:hAnsi="Times New Roman" w:cs="Times New Roman"/>
          <w:i/>
          <w:iCs/>
        </w:rPr>
        <w:t xml:space="preserve"> Historical</w:t>
      </w:r>
      <w:r w:rsidR="00E554EB" w:rsidRPr="000E14DB">
        <w:rPr>
          <w:rFonts w:ascii="Times New Roman" w:hAnsi="Times New Roman" w:cs="Times New Roman"/>
          <w:i/>
          <w:iCs/>
        </w:rPr>
        <w:t>,</w:t>
      </w:r>
      <w:r w:rsidR="00943085" w:rsidRPr="000E14DB">
        <w:rPr>
          <w:rFonts w:ascii="Times New Roman" w:hAnsi="Times New Roman" w:cs="Times New Roman"/>
          <w:i/>
          <w:iCs/>
        </w:rPr>
        <w:t xml:space="preserve"> </w:t>
      </w:r>
      <w:r w:rsidR="00943085" w:rsidRPr="000E14DB">
        <w:rPr>
          <w:rFonts w:ascii="Times New Roman" w:hAnsi="Times New Roman" w:cs="Times New Roman"/>
        </w:rPr>
        <w:t>(</w:t>
      </w:r>
      <w:r w:rsidR="00A46C2D" w:rsidRPr="000E14DB">
        <w:rPr>
          <w:rFonts w:ascii="Times New Roman" w:hAnsi="Times New Roman" w:cs="Times New Roman"/>
        </w:rPr>
        <w:t xml:space="preserve">Dec. </w:t>
      </w:r>
      <w:r w:rsidR="00943085" w:rsidRPr="000E14DB">
        <w:rPr>
          <w:rFonts w:ascii="Times New Roman" w:hAnsi="Times New Roman" w:cs="Times New Roman"/>
        </w:rPr>
        <w:t>2020)</w:t>
      </w:r>
      <w:r w:rsidR="006A1695" w:rsidRPr="000E14DB">
        <w:rPr>
          <w:rFonts w:ascii="Times New Roman" w:hAnsi="Times New Roman" w:cs="Times New Roman"/>
        </w:rPr>
        <w:t>,</w:t>
      </w:r>
      <w:r w:rsidR="00153B91" w:rsidRPr="000E14DB">
        <w:rPr>
          <w:rFonts w:ascii="Times New Roman" w:hAnsi="Times New Roman" w:cs="Times New Roman"/>
          <w:i/>
          <w:iCs/>
        </w:rPr>
        <w:t xml:space="preserve"> </w:t>
      </w:r>
      <w:r w:rsidR="00153B91" w:rsidRPr="000E14DB">
        <w:rPr>
          <w:rFonts w:ascii="Times New Roman" w:hAnsi="Times New Roman" w:cs="Times New Roman"/>
        </w:rPr>
        <w:t>https://www.cms.gov/Research-Statistics-Data-and-Systems/Statistics-Trends-and Reports/NationalHealthExpendData/NationalHealthAccountsHistorical</w:t>
      </w:r>
      <w:r w:rsidR="00153B91" w:rsidRPr="000E14DB">
        <w:rPr>
          <w:rFonts w:ascii="Times New Roman" w:hAnsi="Times New Roman" w:cs="Times New Roman"/>
          <w:i/>
          <w:iCs/>
        </w:rPr>
        <w:t xml:space="preserve"> </w:t>
      </w:r>
    </w:p>
  </w:footnote>
  <w:footnote w:id="4">
    <w:p w14:paraId="7750760E" w14:textId="7911B4CC" w:rsidR="00A87279" w:rsidRPr="000E14DB" w:rsidRDefault="00A87279">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002E6635" w:rsidRPr="000E14DB">
        <w:rPr>
          <w:rFonts w:ascii="Times New Roman" w:hAnsi="Times New Roman" w:cs="Times New Roman"/>
        </w:rPr>
        <w:t xml:space="preserve">Robert Pear, </w:t>
      </w:r>
      <w:r w:rsidR="00D05307" w:rsidRPr="000E14DB">
        <w:rPr>
          <w:rFonts w:ascii="Times New Roman" w:hAnsi="Times New Roman" w:cs="Times New Roman"/>
          <w:i/>
          <w:iCs/>
        </w:rPr>
        <w:t xml:space="preserve">Medicare’s Trust Fund Is Set to Run Out in 8 Years. Social Security, 16., </w:t>
      </w:r>
      <w:r w:rsidR="005C5B78">
        <w:rPr>
          <w:rFonts w:ascii="Times New Roman" w:hAnsi="Times New Roman" w:cs="Times New Roman"/>
        </w:rPr>
        <w:t>N.Y. T</w:t>
      </w:r>
      <w:r w:rsidR="005C5B78" w:rsidRPr="005C5B78">
        <w:rPr>
          <w:rFonts w:ascii="Times New Roman" w:hAnsi="Times New Roman" w:cs="Times New Roman"/>
          <w:smallCaps/>
        </w:rPr>
        <w:t>imes</w:t>
      </w:r>
      <w:r w:rsidR="005C5B78">
        <w:rPr>
          <w:rFonts w:ascii="Times New Roman" w:hAnsi="Times New Roman" w:cs="Times New Roman"/>
          <w:smallCaps/>
        </w:rPr>
        <w:t>,</w:t>
      </w:r>
      <w:r w:rsidR="0023526D" w:rsidRPr="000E14DB">
        <w:rPr>
          <w:rFonts w:ascii="Times New Roman" w:hAnsi="Times New Roman" w:cs="Times New Roman"/>
        </w:rPr>
        <w:t xml:space="preserve"> Jun</w:t>
      </w:r>
      <w:r w:rsidR="001D3BB9" w:rsidRPr="000E14DB">
        <w:rPr>
          <w:rFonts w:ascii="Times New Roman" w:hAnsi="Times New Roman" w:cs="Times New Roman"/>
        </w:rPr>
        <w:t>.</w:t>
      </w:r>
      <w:r w:rsidR="0023526D" w:rsidRPr="000E14DB">
        <w:rPr>
          <w:rFonts w:ascii="Times New Roman" w:hAnsi="Times New Roman" w:cs="Times New Roman"/>
        </w:rPr>
        <w:t xml:space="preserve"> 5, 2018</w:t>
      </w:r>
      <w:r w:rsidR="001D3BB9" w:rsidRPr="000E14DB">
        <w:rPr>
          <w:rFonts w:ascii="Times New Roman" w:hAnsi="Times New Roman" w:cs="Times New Roman"/>
        </w:rPr>
        <w:t xml:space="preserve">, </w:t>
      </w:r>
      <w:r w:rsidR="00FD7835" w:rsidRPr="000E14DB">
        <w:rPr>
          <w:rFonts w:ascii="Times New Roman" w:hAnsi="Times New Roman" w:cs="Times New Roman"/>
        </w:rPr>
        <w:t>https://www.nytimes.com/2018/06/05/us/politics/medicare-social-security-finances.html</w:t>
      </w:r>
    </w:p>
  </w:footnote>
  <w:footnote w:id="5">
    <w:p w14:paraId="1B10C9A8" w14:textId="38767D86" w:rsidR="0046440A" w:rsidRPr="000E14DB" w:rsidRDefault="0046440A">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Pr="000E14DB">
        <w:rPr>
          <w:rFonts w:ascii="Times New Roman" w:hAnsi="Times New Roman" w:cs="Times New Roman"/>
          <w:i/>
          <w:iCs/>
        </w:rPr>
        <w:t>Id.</w:t>
      </w:r>
      <w:r w:rsidRPr="000E14DB">
        <w:rPr>
          <w:rFonts w:ascii="Times New Roman" w:hAnsi="Times New Roman" w:cs="Times New Roman"/>
        </w:rPr>
        <w:t xml:space="preserve"> </w:t>
      </w:r>
    </w:p>
  </w:footnote>
  <w:footnote w:id="6">
    <w:p w14:paraId="2A8A518A" w14:textId="413C782D" w:rsidR="008E587A" w:rsidRPr="000E14DB" w:rsidRDefault="008E587A">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Sara Heath</w:t>
      </w:r>
      <w:r w:rsidR="00967850" w:rsidRPr="000E14DB">
        <w:rPr>
          <w:rFonts w:ascii="Times New Roman" w:hAnsi="Times New Roman" w:cs="Times New Roman"/>
        </w:rPr>
        <w:t xml:space="preserve">, </w:t>
      </w:r>
      <w:r w:rsidR="00967850" w:rsidRPr="000E14DB">
        <w:rPr>
          <w:rFonts w:ascii="Times New Roman" w:hAnsi="Times New Roman" w:cs="Times New Roman"/>
          <w:i/>
          <w:iCs/>
        </w:rPr>
        <w:t>How Out-of-Pocket Costs Affect Patient Healthcare Access</w:t>
      </w:r>
      <w:r w:rsidR="00967850" w:rsidRPr="000E14DB">
        <w:rPr>
          <w:rFonts w:ascii="Times New Roman" w:hAnsi="Times New Roman" w:cs="Times New Roman"/>
        </w:rPr>
        <w:t xml:space="preserve">, </w:t>
      </w:r>
      <w:r w:rsidR="00EE20F1" w:rsidRPr="000E14DB">
        <w:rPr>
          <w:rFonts w:ascii="Times New Roman" w:hAnsi="Times New Roman" w:cs="Times New Roman"/>
        </w:rPr>
        <w:t>P</w:t>
      </w:r>
      <w:r w:rsidR="00EE20F1" w:rsidRPr="005C5B78">
        <w:rPr>
          <w:rFonts w:ascii="Times New Roman" w:hAnsi="Times New Roman" w:cs="Times New Roman"/>
          <w:smallCaps/>
        </w:rPr>
        <w:t>atient</w:t>
      </w:r>
      <w:r w:rsidR="00EE20F1" w:rsidRPr="000E14DB">
        <w:rPr>
          <w:rFonts w:ascii="Times New Roman" w:hAnsi="Times New Roman" w:cs="Times New Roman"/>
        </w:rPr>
        <w:t xml:space="preserve"> E</w:t>
      </w:r>
      <w:r w:rsidR="00EE20F1" w:rsidRPr="005C5B78">
        <w:rPr>
          <w:rFonts w:ascii="Times New Roman" w:hAnsi="Times New Roman" w:cs="Times New Roman"/>
          <w:smallCaps/>
        </w:rPr>
        <w:t>ngagement</w:t>
      </w:r>
      <w:r w:rsidR="00EE20F1" w:rsidRPr="000E14DB">
        <w:rPr>
          <w:rFonts w:ascii="Times New Roman" w:hAnsi="Times New Roman" w:cs="Times New Roman"/>
        </w:rPr>
        <w:t xml:space="preserve">, </w:t>
      </w:r>
      <w:r w:rsidR="00026C1B" w:rsidRPr="000E14DB">
        <w:rPr>
          <w:rFonts w:ascii="Times New Roman" w:hAnsi="Times New Roman" w:cs="Times New Roman"/>
        </w:rPr>
        <w:t>(Jan. 11, 2017)</w:t>
      </w:r>
      <w:r w:rsidR="00737B83" w:rsidRPr="000E14DB">
        <w:rPr>
          <w:rFonts w:ascii="Times New Roman" w:hAnsi="Times New Roman" w:cs="Times New Roman"/>
        </w:rPr>
        <w:t xml:space="preserve">, </w:t>
      </w:r>
      <w:r w:rsidR="00CF1864" w:rsidRPr="000E14DB">
        <w:rPr>
          <w:rFonts w:ascii="Times New Roman" w:hAnsi="Times New Roman" w:cs="Times New Roman"/>
        </w:rPr>
        <w:t xml:space="preserve">https://patientengagementhit.com/news/how-out-of-pocket-costs-affect-patient-healthcare-access </w:t>
      </w:r>
      <w:r w:rsidR="00A34092" w:rsidRPr="000E14DB">
        <w:rPr>
          <w:rFonts w:ascii="Times New Roman" w:hAnsi="Times New Roman" w:cs="Times New Roman"/>
        </w:rPr>
        <w:t xml:space="preserve">(“Research has shown a relationship between increasing patient cost burden and health service utilization, suggesting that when patients pay more for their </w:t>
      </w:r>
      <w:r w:rsidR="006F298A" w:rsidRPr="000E14DB">
        <w:rPr>
          <w:rFonts w:ascii="Times New Roman" w:hAnsi="Times New Roman" w:cs="Times New Roman"/>
        </w:rPr>
        <w:t>healthcare,</w:t>
      </w:r>
      <w:r w:rsidR="00A34092" w:rsidRPr="000E14DB">
        <w:rPr>
          <w:rFonts w:ascii="Times New Roman" w:hAnsi="Times New Roman" w:cs="Times New Roman"/>
        </w:rPr>
        <w:t xml:space="preserve"> they are less likely to access treatment.”).</w:t>
      </w:r>
    </w:p>
  </w:footnote>
  <w:footnote w:id="7">
    <w:p w14:paraId="71688066" w14:textId="605083D6" w:rsidR="00A34092" w:rsidRPr="000E14DB" w:rsidRDefault="00A34092">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Pr="000E14DB">
        <w:rPr>
          <w:rFonts w:ascii="Times New Roman" w:hAnsi="Times New Roman" w:cs="Times New Roman"/>
          <w:i/>
          <w:iCs/>
        </w:rPr>
        <w:t>Id.</w:t>
      </w:r>
    </w:p>
  </w:footnote>
  <w:footnote w:id="8">
    <w:p w14:paraId="7A76C5D1" w14:textId="005124EF" w:rsidR="00DE7AEA" w:rsidRPr="000E14DB" w:rsidRDefault="00DE7AEA">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Pr="000E14DB">
        <w:rPr>
          <w:rFonts w:ascii="Times New Roman" w:hAnsi="Times New Roman" w:cs="Times New Roman"/>
          <w:i/>
          <w:iCs/>
        </w:rPr>
        <w:t>Id.</w:t>
      </w:r>
    </w:p>
  </w:footnote>
  <w:footnote w:id="9">
    <w:p w14:paraId="3BC982D6" w14:textId="507F5666" w:rsidR="002809BB" w:rsidRPr="000E14DB" w:rsidRDefault="002809BB">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00A71527" w:rsidRPr="000E14DB">
        <w:rPr>
          <w:rFonts w:ascii="Times New Roman" w:hAnsi="Times New Roman" w:cs="Times New Roman"/>
        </w:rPr>
        <w:t>Joseph Dielman</w:t>
      </w:r>
      <w:r w:rsidR="008A374C" w:rsidRPr="000E14DB">
        <w:rPr>
          <w:rFonts w:ascii="Times New Roman" w:hAnsi="Times New Roman" w:cs="Times New Roman"/>
        </w:rPr>
        <w:t xml:space="preserve">, </w:t>
      </w:r>
      <w:r w:rsidR="00353E25">
        <w:rPr>
          <w:rFonts w:ascii="Times New Roman" w:hAnsi="Times New Roman" w:cs="Times New Roman"/>
        </w:rPr>
        <w:t>e</w:t>
      </w:r>
      <w:r w:rsidR="008A374C" w:rsidRPr="000E14DB">
        <w:rPr>
          <w:rFonts w:ascii="Times New Roman" w:hAnsi="Times New Roman" w:cs="Times New Roman"/>
        </w:rPr>
        <w:t xml:space="preserve">t al., </w:t>
      </w:r>
      <w:r w:rsidR="008A374C" w:rsidRPr="000E14DB">
        <w:rPr>
          <w:rFonts w:ascii="Times New Roman" w:hAnsi="Times New Roman" w:cs="Times New Roman"/>
          <w:i/>
          <w:iCs/>
        </w:rPr>
        <w:t xml:space="preserve">Factors Associated </w:t>
      </w:r>
      <w:r w:rsidR="004E4909" w:rsidRPr="000E14DB">
        <w:rPr>
          <w:rFonts w:ascii="Times New Roman" w:hAnsi="Times New Roman" w:cs="Times New Roman"/>
          <w:i/>
          <w:iCs/>
        </w:rPr>
        <w:t>w</w:t>
      </w:r>
      <w:r w:rsidR="008A374C" w:rsidRPr="000E14DB">
        <w:rPr>
          <w:rFonts w:ascii="Times New Roman" w:hAnsi="Times New Roman" w:cs="Times New Roman"/>
          <w:i/>
          <w:iCs/>
        </w:rPr>
        <w:t>ith Increases in US Health Care Spending, 1996-2013</w:t>
      </w:r>
      <w:r w:rsidR="008A374C" w:rsidRPr="000E14DB">
        <w:rPr>
          <w:rFonts w:ascii="Times New Roman" w:hAnsi="Times New Roman" w:cs="Times New Roman"/>
        </w:rPr>
        <w:t xml:space="preserve">, (Nov. 7, 2017), </w:t>
      </w:r>
      <w:r w:rsidR="006F298A" w:rsidRPr="000E14DB">
        <w:rPr>
          <w:rFonts w:ascii="Times New Roman" w:hAnsi="Times New Roman" w:cs="Times New Roman"/>
        </w:rPr>
        <w:t>https://jamanetwork.com/journals/jama/fullarticle/2661579</w:t>
      </w:r>
    </w:p>
  </w:footnote>
  <w:footnote w:id="10">
    <w:p w14:paraId="0236E0AF" w14:textId="3219AE50" w:rsidR="004E4909" w:rsidRPr="000E14DB" w:rsidRDefault="004E4909">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Pr="000E14DB">
        <w:rPr>
          <w:rFonts w:ascii="Times New Roman" w:hAnsi="Times New Roman" w:cs="Times New Roman"/>
          <w:i/>
          <w:iCs/>
        </w:rPr>
        <w:t>Id.</w:t>
      </w:r>
    </w:p>
  </w:footnote>
  <w:footnote w:id="11">
    <w:p w14:paraId="1D540D07" w14:textId="056F6280" w:rsidR="004E4909" w:rsidRPr="000E14DB" w:rsidRDefault="004E4909">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Pr="000E14DB">
        <w:rPr>
          <w:rFonts w:ascii="Times New Roman" w:hAnsi="Times New Roman" w:cs="Times New Roman"/>
          <w:i/>
          <w:iCs/>
        </w:rPr>
        <w:t>Id.</w:t>
      </w:r>
    </w:p>
  </w:footnote>
  <w:footnote w:id="12">
    <w:p w14:paraId="547BAF28" w14:textId="452992BD" w:rsidR="00946107" w:rsidRPr="000E14DB" w:rsidRDefault="00946107">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Pr="000E14DB">
        <w:rPr>
          <w:rFonts w:ascii="Times New Roman" w:hAnsi="Times New Roman" w:cs="Times New Roman"/>
          <w:i/>
          <w:iCs/>
        </w:rPr>
        <w:t>Id.</w:t>
      </w:r>
    </w:p>
  </w:footnote>
  <w:footnote w:id="13">
    <w:p w14:paraId="6E96A320" w14:textId="78FB9529" w:rsidR="00643DF6" w:rsidRPr="000E14DB" w:rsidRDefault="00643DF6">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Pr="000E14DB">
        <w:rPr>
          <w:rFonts w:ascii="Times New Roman" w:hAnsi="Times New Roman" w:cs="Times New Roman"/>
          <w:i/>
          <w:iCs/>
        </w:rPr>
        <w:t>Id.</w:t>
      </w:r>
    </w:p>
  </w:footnote>
  <w:footnote w:id="14">
    <w:p w14:paraId="53FFDC3D" w14:textId="6EC8B28E" w:rsidR="00F46A6A" w:rsidRPr="000E14DB" w:rsidRDefault="00F46A6A">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Pr="000E14DB">
        <w:rPr>
          <w:rFonts w:ascii="Times New Roman" w:hAnsi="Times New Roman" w:cs="Times New Roman"/>
          <w:i/>
          <w:iCs/>
        </w:rPr>
        <w:t>Id.</w:t>
      </w:r>
    </w:p>
  </w:footnote>
  <w:footnote w:id="15">
    <w:p w14:paraId="055152C6" w14:textId="40225462" w:rsidR="002F2DB4" w:rsidRPr="000E14DB" w:rsidRDefault="005F5222" w:rsidP="002F2DB4">
      <w:pPr>
        <w:pStyle w:val="FootnoteText"/>
        <w:rPr>
          <w:rFonts w:ascii="Times New Roman" w:hAnsi="Times New Roman" w:cs="Times New Roman"/>
          <w:i/>
          <w:iCs/>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002F2DB4" w:rsidRPr="000E14DB">
        <w:rPr>
          <w:rFonts w:ascii="Times New Roman" w:hAnsi="Times New Roman" w:cs="Times New Roman"/>
        </w:rPr>
        <w:t xml:space="preserve">Erin C. </w:t>
      </w:r>
      <w:r w:rsidR="00B226DA" w:rsidRPr="000E14DB">
        <w:rPr>
          <w:rFonts w:ascii="Times New Roman" w:hAnsi="Times New Roman" w:cs="Times New Roman"/>
        </w:rPr>
        <w:t xml:space="preserve">Fuse Brown </w:t>
      </w:r>
      <w:r w:rsidR="00B6753F" w:rsidRPr="000E14DB">
        <w:rPr>
          <w:rFonts w:ascii="Times New Roman" w:hAnsi="Times New Roman" w:cs="Times New Roman"/>
        </w:rPr>
        <w:t xml:space="preserve">&amp; </w:t>
      </w:r>
      <w:r w:rsidR="002F2DB4" w:rsidRPr="000E14DB">
        <w:rPr>
          <w:rFonts w:ascii="Times New Roman" w:hAnsi="Times New Roman" w:cs="Times New Roman"/>
        </w:rPr>
        <w:t xml:space="preserve">Jaime S. </w:t>
      </w:r>
      <w:r w:rsidR="00B226DA" w:rsidRPr="000E14DB">
        <w:rPr>
          <w:rFonts w:ascii="Times New Roman" w:hAnsi="Times New Roman" w:cs="Times New Roman"/>
        </w:rPr>
        <w:t xml:space="preserve">King, </w:t>
      </w:r>
      <w:r w:rsidR="002F2DB4" w:rsidRPr="000E14DB">
        <w:rPr>
          <w:rFonts w:ascii="Times New Roman" w:hAnsi="Times New Roman" w:cs="Times New Roman"/>
        </w:rPr>
        <w:t>"</w:t>
      </w:r>
      <w:r w:rsidR="002F2DB4" w:rsidRPr="000E14DB">
        <w:rPr>
          <w:rFonts w:ascii="Times New Roman" w:hAnsi="Times New Roman" w:cs="Times New Roman"/>
          <w:i/>
          <w:iCs/>
        </w:rPr>
        <w:t xml:space="preserve">The Double-Edged Sword of Health Care Integration: </w:t>
      </w:r>
    </w:p>
    <w:p w14:paraId="2930CBA0" w14:textId="116ABE7A" w:rsidR="005F5222" w:rsidRPr="000E14DB" w:rsidRDefault="002F2DB4" w:rsidP="002F2DB4">
      <w:pPr>
        <w:pStyle w:val="FootnoteText"/>
        <w:rPr>
          <w:rFonts w:ascii="Times New Roman" w:hAnsi="Times New Roman" w:cs="Times New Roman"/>
          <w:i/>
          <w:iCs/>
        </w:rPr>
      </w:pPr>
      <w:r w:rsidRPr="000E14DB">
        <w:rPr>
          <w:rFonts w:ascii="Times New Roman" w:hAnsi="Times New Roman" w:cs="Times New Roman"/>
          <w:i/>
          <w:iCs/>
        </w:rPr>
        <w:t>Consolidation and Cost Control</w:t>
      </w:r>
      <w:r w:rsidRPr="000E14DB">
        <w:rPr>
          <w:rFonts w:ascii="Times New Roman" w:hAnsi="Times New Roman" w:cs="Times New Roman"/>
        </w:rPr>
        <w:t xml:space="preserve">," </w:t>
      </w:r>
      <w:r w:rsidR="00353E25">
        <w:rPr>
          <w:rFonts w:ascii="Times New Roman" w:hAnsi="Times New Roman" w:cs="Times New Roman"/>
        </w:rPr>
        <w:t xml:space="preserve">92 </w:t>
      </w:r>
      <w:r w:rsidRPr="000E14DB">
        <w:rPr>
          <w:rFonts w:ascii="Times New Roman" w:hAnsi="Times New Roman" w:cs="Times New Roman"/>
        </w:rPr>
        <w:t>Indiana L</w:t>
      </w:r>
      <w:r w:rsidR="00353E25">
        <w:rPr>
          <w:rFonts w:ascii="Times New Roman" w:hAnsi="Times New Roman" w:cs="Times New Roman"/>
        </w:rPr>
        <w:t>. J</w:t>
      </w:r>
      <w:r w:rsidRPr="000E14DB">
        <w:rPr>
          <w:rFonts w:ascii="Times New Roman" w:hAnsi="Times New Roman" w:cs="Times New Roman"/>
        </w:rPr>
        <w:t>.</w:t>
      </w:r>
      <w:r w:rsidR="00AA332A" w:rsidRPr="000E14DB">
        <w:rPr>
          <w:rFonts w:ascii="Times New Roman" w:hAnsi="Times New Roman" w:cs="Times New Roman"/>
        </w:rPr>
        <w:t xml:space="preserve"> 56, 60</w:t>
      </w:r>
      <w:r w:rsidR="00F616B8" w:rsidRPr="000E14DB">
        <w:rPr>
          <w:rFonts w:ascii="Times New Roman" w:hAnsi="Times New Roman" w:cs="Times New Roman"/>
        </w:rPr>
        <w:t xml:space="preserve"> (2016) </w:t>
      </w:r>
    </w:p>
  </w:footnote>
  <w:footnote w:id="16">
    <w:p w14:paraId="34474123" w14:textId="1F03708E" w:rsidR="004E3CAA" w:rsidRPr="000E14DB" w:rsidRDefault="004E3CAA">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Pr="000E14DB">
        <w:rPr>
          <w:rFonts w:ascii="Times New Roman" w:hAnsi="Times New Roman" w:cs="Times New Roman"/>
          <w:i/>
          <w:iCs/>
        </w:rPr>
        <w:t>Id.</w:t>
      </w:r>
      <w:r w:rsidRPr="000E14DB">
        <w:rPr>
          <w:rFonts w:ascii="Times New Roman" w:hAnsi="Times New Roman" w:cs="Times New Roman"/>
        </w:rPr>
        <w:t xml:space="preserve"> </w:t>
      </w:r>
      <w:r w:rsidR="008A593F" w:rsidRPr="000E14DB">
        <w:rPr>
          <w:rFonts w:ascii="Times New Roman" w:hAnsi="Times New Roman" w:cs="Times New Roman"/>
        </w:rPr>
        <w:t>at 62.</w:t>
      </w:r>
    </w:p>
  </w:footnote>
  <w:footnote w:id="17">
    <w:p w14:paraId="1F2CA129" w14:textId="774FCDDD" w:rsidR="00766DDB" w:rsidRPr="000E14DB" w:rsidRDefault="00766DDB">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Pr="000E14DB">
        <w:rPr>
          <w:rFonts w:ascii="Times New Roman" w:hAnsi="Times New Roman" w:cs="Times New Roman"/>
          <w:i/>
          <w:iCs/>
        </w:rPr>
        <w:t>Id.</w:t>
      </w:r>
      <w:r w:rsidR="00BD3D25" w:rsidRPr="000E14DB">
        <w:rPr>
          <w:rFonts w:ascii="Times New Roman" w:hAnsi="Times New Roman" w:cs="Times New Roman"/>
        </w:rPr>
        <w:t xml:space="preserve"> at 57.</w:t>
      </w:r>
    </w:p>
  </w:footnote>
  <w:footnote w:id="18">
    <w:p w14:paraId="325939A4" w14:textId="1AB86BDE" w:rsidR="00F1457E" w:rsidRPr="000E14DB" w:rsidRDefault="00F1457E">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00871561" w:rsidRPr="000E14DB">
        <w:rPr>
          <w:rFonts w:ascii="Times New Roman" w:hAnsi="Times New Roman" w:cs="Times New Roman"/>
        </w:rPr>
        <w:t xml:space="preserve">42 </w:t>
      </w:r>
      <w:r w:rsidR="00D364C3" w:rsidRPr="000E14DB">
        <w:rPr>
          <w:rFonts w:ascii="Times New Roman" w:hAnsi="Times New Roman" w:cs="Times New Roman"/>
        </w:rPr>
        <w:t xml:space="preserve">C.F.R. </w:t>
      </w:r>
      <w:r w:rsidR="009A5DAE" w:rsidRPr="000E14DB">
        <w:rPr>
          <w:rFonts w:ascii="Times New Roman" w:hAnsi="Times New Roman" w:cs="Times New Roman"/>
        </w:rPr>
        <w:t>§</w:t>
      </w:r>
      <w:r w:rsidR="00D364C3" w:rsidRPr="000E14DB">
        <w:rPr>
          <w:rFonts w:ascii="Times New Roman" w:hAnsi="Times New Roman" w:cs="Times New Roman"/>
        </w:rPr>
        <w:t xml:space="preserve"> 425.1</w:t>
      </w:r>
      <w:r w:rsidR="00A97411">
        <w:rPr>
          <w:rFonts w:ascii="Times New Roman" w:hAnsi="Times New Roman" w:cs="Times New Roman"/>
        </w:rPr>
        <w:t>00</w:t>
      </w:r>
      <w:r w:rsidR="00A348CE" w:rsidRPr="000E14DB">
        <w:rPr>
          <w:rFonts w:ascii="Times New Roman" w:hAnsi="Times New Roman" w:cs="Times New Roman"/>
        </w:rPr>
        <w:t xml:space="preserve"> (201</w:t>
      </w:r>
      <w:r w:rsidR="00A97411">
        <w:rPr>
          <w:rFonts w:ascii="Times New Roman" w:hAnsi="Times New Roman" w:cs="Times New Roman"/>
        </w:rPr>
        <w:t>0</w:t>
      </w:r>
      <w:r w:rsidR="00A348CE" w:rsidRPr="000E14DB">
        <w:rPr>
          <w:rFonts w:ascii="Times New Roman" w:hAnsi="Times New Roman" w:cs="Times New Roman"/>
        </w:rPr>
        <w:t>)</w:t>
      </w:r>
    </w:p>
  </w:footnote>
  <w:footnote w:id="19">
    <w:p w14:paraId="5BF7CC8E" w14:textId="0B1D5C71" w:rsidR="0042266F" w:rsidRPr="000E14DB" w:rsidRDefault="0042266F">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00BA21A5" w:rsidRPr="000E14DB">
        <w:rPr>
          <w:rFonts w:ascii="Times New Roman" w:hAnsi="Times New Roman" w:cs="Times New Roman"/>
        </w:rPr>
        <w:t xml:space="preserve">Revcycle Intelligence, </w:t>
      </w:r>
      <w:r w:rsidR="00330B15" w:rsidRPr="000E14DB">
        <w:rPr>
          <w:rFonts w:ascii="Times New Roman" w:hAnsi="Times New Roman" w:cs="Times New Roman"/>
          <w:i/>
          <w:iCs/>
        </w:rPr>
        <w:t>How Hospital Merger and Acquisition Activity is Changing Healthcare</w:t>
      </w:r>
      <w:r w:rsidR="00330B15" w:rsidRPr="000E14DB">
        <w:rPr>
          <w:rFonts w:ascii="Times New Roman" w:hAnsi="Times New Roman" w:cs="Times New Roman"/>
        </w:rPr>
        <w:t xml:space="preserve">, (Jul., 18, 2018), </w:t>
      </w:r>
      <w:r w:rsidRPr="000E14DB">
        <w:rPr>
          <w:rFonts w:ascii="Times New Roman" w:hAnsi="Times New Roman" w:cs="Times New Roman"/>
        </w:rPr>
        <w:t>https://revcycleintelligence.com/features/how-hospital-merger-and-acquisition-activity-is-changing-healthcare</w:t>
      </w:r>
    </w:p>
  </w:footnote>
  <w:footnote w:id="20">
    <w:p w14:paraId="67C3B751" w14:textId="1AC89631" w:rsidR="00D84E2D" w:rsidRPr="000E14DB" w:rsidRDefault="00D84E2D">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Kaufman, Hall &amp; Associates, LLC, </w:t>
      </w:r>
      <w:r w:rsidRPr="000E14DB">
        <w:rPr>
          <w:rFonts w:ascii="Times New Roman" w:hAnsi="Times New Roman" w:cs="Times New Roman"/>
          <w:i/>
          <w:iCs/>
        </w:rPr>
        <w:t>2019 M&amp;A in Review: In Pursuit of the New Bases of Competition</w:t>
      </w:r>
      <w:r w:rsidRPr="000E14DB">
        <w:rPr>
          <w:rFonts w:ascii="Times New Roman" w:hAnsi="Times New Roman" w:cs="Times New Roman"/>
        </w:rPr>
        <w:t xml:space="preserve"> (2020), </w:t>
      </w:r>
      <w:r w:rsidR="00423203" w:rsidRPr="000E14DB">
        <w:rPr>
          <w:rFonts w:ascii="Times New Roman" w:hAnsi="Times New Roman" w:cs="Times New Roman"/>
        </w:rPr>
        <w:t xml:space="preserve">https://www.kaufmanhall.com/sites/default/files/documents/2020-01/2019_mergers_and_acquisitions_report_kaufmanhall.pdf, </w:t>
      </w:r>
      <w:r w:rsidR="00063654">
        <w:rPr>
          <w:rFonts w:ascii="Times New Roman" w:hAnsi="Times New Roman" w:cs="Times New Roman"/>
        </w:rPr>
        <w:t xml:space="preserve">at </w:t>
      </w:r>
      <w:r w:rsidR="00C7300B" w:rsidRPr="000E14DB">
        <w:rPr>
          <w:rFonts w:ascii="Times New Roman" w:hAnsi="Times New Roman" w:cs="Times New Roman"/>
        </w:rPr>
        <w:t>5</w:t>
      </w:r>
      <w:r w:rsidR="00063654">
        <w:rPr>
          <w:rFonts w:ascii="Times New Roman" w:hAnsi="Times New Roman" w:cs="Times New Roman"/>
        </w:rPr>
        <w:t>.</w:t>
      </w:r>
    </w:p>
  </w:footnote>
  <w:footnote w:id="21">
    <w:p w14:paraId="065A589B" w14:textId="4222F665" w:rsidR="001A528B" w:rsidRPr="000E14DB" w:rsidRDefault="001A528B" w:rsidP="00674907">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Pr="000E14DB">
        <w:rPr>
          <w:rFonts w:ascii="Times New Roman" w:hAnsi="Times New Roman" w:cs="Times New Roman"/>
          <w:i/>
          <w:iCs/>
        </w:rPr>
        <w:t>Id</w:t>
      </w:r>
      <w:r w:rsidR="00674907" w:rsidRPr="000E14DB">
        <w:rPr>
          <w:rFonts w:ascii="Times New Roman" w:hAnsi="Times New Roman" w:cs="Times New Roman"/>
          <w:i/>
          <w:iCs/>
        </w:rPr>
        <w:t>.</w:t>
      </w:r>
      <w:r w:rsidR="00674907" w:rsidRPr="000E14DB">
        <w:rPr>
          <w:rFonts w:ascii="Times New Roman" w:hAnsi="Times New Roman" w:cs="Times New Roman"/>
        </w:rPr>
        <w:t xml:space="preserve"> at 13 (“Kaufman Hall expects many of the trends from 2019 to carry forward into 2020, including:</w:t>
      </w:r>
      <w:r w:rsidR="00BF4766" w:rsidRPr="000E14DB">
        <w:rPr>
          <w:rFonts w:ascii="Times New Roman" w:hAnsi="Times New Roman" w:cs="Times New Roman"/>
        </w:rPr>
        <w:t xml:space="preserve"> Competition to control healthcare’s front door, new combinations across healthcare verticals, continued growth of regional health systems, and an emphasis </w:t>
      </w:r>
      <w:r w:rsidR="00D16EA7" w:rsidRPr="000E14DB">
        <w:rPr>
          <w:rFonts w:ascii="Times New Roman" w:hAnsi="Times New Roman" w:cs="Times New Roman"/>
        </w:rPr>
        <w:t>on increased reach within existing markets</w:t>
      </w:r>
      <w:r w:rsidR="00C32B1B" w:rsidRPr="000E14DB">
        <w:rPr>
          <w:rFonts w:ascii="Times New Roman" w:hAnsi="Times New Roman" w:cs="Times New Roman"/>
        </w:rPr>
        <w:t>.”).</w:t>
      </w:r>
    </w:p>
  </w:footnote>
  <w:footnote w:id="22">
    <w:p w14:paraId="591EF058" w14:textId="5157FA31" w:rsidR="00F15034" w:rsidRPr="000E14DB" w:rsidRDefault="00F15034">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Pr="000E14DB">
        <w:rPr>
          <w:rFonts w:ascii="Times New Roman" w:hAnsi="Times New Roman" w:cs="Times New Roman"/>
          <w:i/>
          <w:iCs/>
        </w:rPr>
        <w:t>Id.</w:t>
      </w:r>
      <w:r w:rsidRPr="000E14DB">
        <w:rPr>
          <w:rFonts w:ascii="Times New Roman" w:hAnsi="Times New Roman" w:cs="Times New Roman"/>
        </w:rPr>
        <w:t xml:space="preserve"> at 5</w:t>
      </w:r>
    </w:p>
  </w:footnote>
  <w:footnote w:id="23">
    <w:p w14:paraId="6BBD7B9F" w14:textId="3DB10C43" w:rsidR="00CB28DC" w:rsidRPr="000E14DB" w:rsidRDefault="00CB28DC">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Pr="000E14DB">
        <w:rPr>
          <w:rFonts w:ascii="Times New Roman" w:hAnsi="Times New Roman" w:cs="Times New Roman"/>
          <w:i/>
          <w:iCs/>
        </w:rPr>
        <w:t>Id.</w:t>
      </w:r>
      <w:r w:rsidRPr="000E14DB">
        <w:rPr>
          <w:rFonts w:ascii="Times New Roman" w:hAnsi="Times New Roman" w:cs="Times New Roman"/>
        </w:rPr>
        <w:t xml:space="preserve"> at 7</w:t>
      </w:r>
    </w:p>
  </w:footnote>
  <w:footnote w:id="24">
    <w:p w14:paraId="4F317B62" w14:textId="15BA4CCA" w:rsidR="005246A0" w:rsidRPr="000E14DB" w:rsidRDefault="005246A0">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005843BD" w:rsidRPr="000E14DB">
        <w:rPr>
          <w:rFonts w:ascii="Times New Roman" w:hAnsi="Times New Roman" w:cs="Times New Roman"/>
        </w:rPr>
        <w:t xml:space="preserve">Eric T. Roberts, Michael E. Chernew, and J. Michael McWilliams, </w:t>
      </w:r>
      <w:r w:rsidR="005843BD" w:rsidRPr="000E14DB">
        <w:rPr>
          <w:rFonts w:ascii="Times New Roman" w:hAnsi="Times New Roman" w:cs="Times New Roman"/>
          <w:i/>
          <w:iCs/>
        </w:rPr>
        <w:t xml:space="preserve">Market Share Matters: Evidence of Insurer </w:t>
      </w:r>
      <w:r w:rsidR="001C2ADC" w:rsidRPr="000E14DB">
        <w:rPr>
          <w:rFonts w:ascii="Times New Roman" w:hAnsi="Times New Roman" w:cs="Times New Roman"/>
          <w:i/>
          <w:iCs/>
        </w:rPr>
        <w:t>a</w:t>
      </w:r>
      <w:r w:rsidR="005843BD" w:rsidRPr="000E14DB">
        <w:rPr>
          <w:rFonts w:ascii="Times New Roman" w:hAnsi="Times New Roman" w:cs="Times New Roman"/>
          <w:i/>
          <w:iCs/>
        </w:rPr>
        <w:t>nd Provider Bargaining Over Prices</w:t>
      </w:r>
      <w:r w:rsidR="005843BD" w:rsidRPr="000E14DB">
        <w:rPr>
          <w:rFonts w:ascii="Times New Roman" w:hAnsi="Times New Roman" w:cs="Times New Roman"/>
        </w:rPr>
        <w:t xml:space="preserve">, (Jan. 2017), </w:t>
      </w:r>
      <w:r w:rsidR="007D2DAE" w:rsidRPr="000E14DB">
        <w:rPr>
          <w:rFonts w:ascii="Times New Roman" w:hAnsi="Times New Roman" w:cs="Times New Roman"/>
        </w:rPr>
        <w:t>https://www.healthaffairs.org/doi/10.1377/hlthaff.2016.0479</w:t>
      </w:r>
    </w:p>
  </w:footnote>
  <w:footnote w:id="25">
    <w:p w14:paraId="5095E79E" w14:textId="522FB49C" w:rsidR="004F340C" w:rsidRPr="000E14DB" w:rsidRDefault="004F340C">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Dana Sarnak, </w:t>
      </w:r>
      <w:r w:rsidRPr="002A7639">
        <w:rPr>
          <w:rFonts w:ascii="Times New Roman" w:hAnsi="Times New Roman" w:cs="Times New Roman"/>
          <w:i/>
          <w:iCs/>
        </w:rPr>
        <w:t>Multinational Comparisons of Health Systems Data, 2016</w:t>
      </w:r>
      <w:r w:rsidRPr="000E14DB">
        <w:rPr>
          <w:rFonts w:ascii="Times New Roman" w:hAnsi="Times New Roman" w:cs="Times New Roman"/>
        </w:rPr>
        <w:t>, The Commonwealth Fund</w:t>
      </w:r>
      <w:r w:rsidR="002A7639">
        <w:rPr>
          <w:rFonts w:ascii="Times New Roman" w:hAnsi="Times New Roman" w:cs="Times New Roman"/>
        </w:rPr>
        <w:t xml:space="preserve"> (2016),</w:t>
      </w:r>
      <w:r w:rsidRPr="000E14DB">
        <w:rPr>
          <w:rFonts w:ascii="Times New Roman" w:hAnsi="Times New Roman" w:cs="Times New Roman"/>
        </w:rPr>
        <w:t xml:space="preserve"> </w:t>
      </w:r>
      <w:r w:rsidR="00181096" w:rsidRPr="000E14DB">
        <w:rPr>
          <w:rFonts w:ascii="Times New Roman" w:hAnsi="Times New Roman" w:cs="Times New Roman"/>
        </w:rPr>
        <w:t>https://www.commonwealthfund.org/sites/default/files/documents/</w:t>
      </w:r>
      <w:r w:rsidR="00423203" w:rsidRPr="000E14DB">
        <w:rPr>
          <w:rFonts w:ascii="Times New Roman" w:hAnsi="Times New Roman" w:cs="Times New Roman"/>
        </w:rPr>
        <w:t>_</w:t>
      </w:r>
      <w:r w:rsidR="00181096" w:rsidRPr="000E14DB">
        <w:rPr>
          <w:rFonts w:ascii="Times New Roman" w:hAnsi="Times New Roman" w:cs="Times New Roman"/>
        </w:rPr>
        <w:t>media_files_publications_chartbook_2016_att_fsarnak2016_oecd_data_chartpack_final_pdf.pdf</w:t>
      </w:r>
      <w:r w:rsidR="002A7639">
        <w:rPr>
          <w:rFonts w:ascii="Times New Roman" w:hAnsi="Times New Roman" w:cs="Times New Roman"/>
        </w:rPr>
        <w:t>.</w:t>
      </w:r>
    </w:p>
  </w:footnote>
  <w:footnote w:id="26">
    <w:p w14:paraId="0AD2937D" w14:textId="3D5A473F" w:rsidR="004F340C" w:rsidRPr="000E14DB" w:rsidRDefault="004F340C">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Pr="000E14DB">
        <w:rPr>
          <w:rFonts w:ascii="Times New Roman" w:hAnsi="Times New Roman" w:cs="Times New Roman"/>
          <w:i/>
          <w:iCs/>
        </w:rPr>
        <w:t>Id.</w:t>
      </w:r>
    </w:p>
  </w:footnote>
  <w:footnote w:id="27">
    <w:p w14:paraId="76CF39A5" w14:textId="5E489403" w:rsidR="0038229E" w:rsidRPr="000E14DB" w:rsidRDefault="0038229E">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004F340C" w:rsidRPr="000E14DB">
        <w:rPr>
          <w:rFonts w:ascii="Times New Roman" w:hAnsi="Times New Roman" w:cs="Times New Roman"/>
          <w:i/>
          <w:iCs/>
        </w:rPr>
        <w:t>Id.</w:t>
      </w:r>
    </w:p>
  </w:footnote>
  <w:footnote w:id="28">
    <w:p w14:paraId="16313A55" w14:textId="387FCE8B" w:rsidR="00CF4AFB" w:rsidRPr="000E14DB" w:rsidRDefault="00CF4AFB">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Thomas M. Selden, </w:t>
      </w:r>
      <w:r w:rsidR="00353E25">
        <w:rPr>
          <w:rFonts w:ascii="Times New Roman" w:hAnsi="Times New Roman" w:cs="Times New Roman"/>
        </w:rPr>
        <w:t>e</w:t>
      </w:r>
      <w:r w:rsidRPr="000E14DB">
        <w:rPr>
          <w:rFonts w:ascii="Times New Roman" w:hAnsi="Times New Roman" w:cs="Times New Roman"/>
        </w:rPr>
        <w:t>t al.,</w:t>
      </w:r>
      <w:r w:rsidR="00674987" w:rsidRPr="000E14DB">
        <w:rPr>
          <w:rFonts w:ascii="Times New Roman" w:hAnsi="Times New Roman" w:cs="Times New Roman"/>
        </w:rPr>
        <w:t xml:space="preserve"> </w:t>
      </w:r>
      <w:r w:rsidR="00674987" w:rsidRPr="000E14DB">
        <w:rPr>
          <w:rFonts w:ascii="Times New Roman" w:hAnsi="Times New Roman" w:cs="Times New Roman"/>
          <w:i/>
          <w:iCs/>
        </w:rPr>
        <w:t>The Growing Difference Between Public and Private Payment Rates</w:t>
      </w:r>
      <w:r w:rsidR="003B26B5" w:rsidRPr="000E14DB">
        <w:rPr>
          <w:rFonts w:ascii="Times New Roman" w:hAnsi="Times New Roman" w:cs="Times New Roman"/>
          <w:i/>
          <w:iCs/>
        </w:rPr>
        <w:t xml:space="preserve"> f</w:t>
      </w:r>
      <w:r w:rsidR="00674987" w:rsidRPr="000E14DB">
        <w:rPr>
          <w:rFonts w:ascii="Times New Roman" w:hAnsi="Times New Roman" w:cs="Times New Roman"/>
          <w:i/>
          <w:iCs/>
        </w:rPr>
        <w:t>or Inpatient Hospital Care,</w:t>
      </w:r>
      <w:r w:rsidR="00492A4E">
        <w:rPr>
          <w:rFonts w:ascii="Times New Roman" w:hAnsi="Times New Roman" w:cs="Times New Roman"/>
          <w:i/>
          <w:iCs/>
        </w:rPr>
        <w:t xml:space="preserve"> </w:t>
      </w:r>
      <w:r w:rsidR="00492A4E" w:rsidRPr="00492A4E">
        <w:rPr>
          <w:rFonts w:ascii="Times New Roman" w:hAnsi="Times New Roman" w:cs="Times New Roman"/>
        </w:rPr>
        <w:t>H</w:t>
      </w:r>
      <w:r w:rsidR="00492A4E" w:rsidRPr="00353E25">
        <w:rPr>
          <w:rFonts w:ascii="Times New Roman" w:hAnsi="Times New Roman" w:cs="Times New Roman"/>
          <w:smallCaps/>
        </w:rPr>
        <w:t>ealth</w:t>
      </w:r>
      <w:r w:rsidR="00492A4E">
        <w:rPr>
          <w:rFonts w:ascii="Times New Roman" w:hAnsi="Times New Roman" w:cs="Times New Roman"/>
        </w:rPr>
        <w:t xml:space="preserve"> A</w:t>
      </w:r>
      <w:r w:rsidR="00492A4E" w:rsidRPr="00353E25">
        <w:rPr>
          <w:rFonts w:ascii="Times New Roman" w:hAnsi="Times New Roman" w:cs="Times New Roman"/>
          <w:smallCaps/>
        </w:rPr>
        <w:t>ffairs</w:t>
      </w:r>
      <w:r w:rsidR="00674987" w:rsidRPr="000E14DB">
        <w:rPr>
          <w:rFonts w:ascii="Times New Roman" w:hAnsi="Times New Roman" w:cs="Times New Roman"/>
        </w:rPr>
        <w:t xml:space="preserve"> (Dec. 2015),</w:t>
      </w:r>
      <w:r w:rsidR="003B26B5" w:rsidRPr="000E14DB">
        <w:rPr>
          <w:rFonts w:ascii="Times New Roman" w:hAnsi="Times New Roman" w:cs="Times New Roman"/>
        </w:rPr>
        <w:t xml:space="preserve"> </w:t>
      </w:r>
      <w:r w:rsidRPr="000E14DB">
        <w:rPr>
          <w:rFonts w:ascii="Times New Roman" w:hAnsi="Times New Roman" w:cs="Times New Roman"/>
        </w:rPr>
        <w:t>https://www.healthaffairs.org/doi/10.1377/hlthaff.2015.0706</w:t>
      </w:r>
    </w:p>
  </w:footnote>
  <w:footnote w:id="29">
    <w:p w14:paraId="286556CD" w14:textId="373157E3" w:rsidR="00AA3EFC" w:rsidRPr="000E14DB" w:rsidRDefault="00AA3EFC">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005F3A69" w:rsidRPr="000E14DB">
        <w:rPr>
          <w:rFonts w:ascii="Times New Roman" w:hAnsi="Times New Roman" w:cs="Times New Roman"/>
        </w:rPr>
        <w:t xml:space="preserve">Chapin White and Christopher Whaley, </w:t>
      </w:r>
      <w:r w:rsidR="005F3A69" w:rsidRPr="000E14DB">
        <w:rPr>
          <w:rFonts w:ascii="Times New Roman" w:hAnsi="Times New Roman" w:cs="Times New Roman"/>
          <w:i/>
          <w:iCs/>
        </w:rPr>
        <w:t>Prices Paid to Hospitals by Private Health Plans Are High Relative to Medicare and Vary Widely</w:t>
      </w:r>
      <w:r w:rsidR="005F3A69" w:rsidRPr="000E14DB">
        <w:rPr>
          <w:rFonts w:ascii="Times New Roman" w:hAnsi="Times New Roman" w:cs="Times New Roman"/>
        </w:rPr>
        <w:t xml:space="preserve">, </w:t>
      </w:r>
      <w:r w:rsidR="00492A4E">
        <w:rPr>
          <w:rFonts w:ascii="Times New Roman" w:hAnsi="Times New Roman" w:cs="Times New Roman"/>
        </w:rPr>
        <w:t>RAND C</w:t>
      </w:r>
      <w:r w:rsidR="00492A4E" w:rsidRPr="00353E25">
        <w:rPr>
          <w:rFonts w:ascii="Times New Roman" w:hAnsi="Times New Roman" w:cs="Times New Roman"/>
          <w:smallCaps/>
        </w:rPr>
        <w:t>orporation</w:t>
      </w:r>
      <w:r w:rsidR="00492A4E">
        <w:rPr>
          <w:rFonts w:ascii="Times New Roman" w:hAnsi="Times New Roman" w:cs="Times New Roman"/>
        </w:rPr>
        <w:t xml:space="preserve"> </w:t>
      </w:r>
      <w:r w:rsidR="00E57755" w:rsidRPr="000E14DB">
        <w:rPr>
          <w:rFonts w:ascii="Times New Roman" w:hAnsi="Times New Roman" w:cs="Times New Roman"/>
        </w:rPr>
        <w:t>(2019), https://www.rand.org/pubs/research_reports/RR3033.html</w:t>
      </w:r>
      <w:r w:rsidR="00492A4E">
        <w:rPr>
          <w:rFonts w:ascii="Times New Roman" w:hAnsi="Times New Roman" w:cs="Times New Roman"/>
        </w:rPr>
        <w:t>.</w:t>
      </w:r>
    </w:p>
  </w:footnote>
  <w:footnote w:id="30">
    <w:p w14:paraId="7BD09B94" w14:textId="7EA40A93" w:rsidR="00C109F6" w:rsidRPr="000E14DB" w:rsidRDefault="00C109F6">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B</w:t>
      </w:r>
      <w:r w:rsidRPr="00353E25">
        <w:rPr>
          <w:rFonts w:ascii="Times New Roman" w:hAnsi="Times New Roman" w:cs="Times New Roman"/>
          <w:smallCaps/>
        </w:rPr>
        <w:t>arry</w:t>
      </w:r>
      <w:r w:rsidRPr="000E14DB">
        <w:rPr>
          <w:rFonts w:ascii="Times New Roman" w:hAnsi="Times New Roman" w:cs="Times New Roman"/>
        </w:rPr>
        <w:t xml:space="preserve"> R. F</w:t>
      </w:r>
      <w:r w:rsidRPr="00353E25">
        <w:rPr>
          <w:rFonts w:ascii="Times New Roman" w:hAnsi="Times New Roman" w:cs="Times New Roman"/>
          <w:smallCaps/>
        </w:rPr>
        <w:t>urrow</w:t>
      </w:r>
      <w:r w:rsidRPr="000E14DB">
        <w:rPr>
          <w:rFonts w:ascii="Times New Roman" w:hAnsi="Times New Roman" w:cs="Times New Roman"/>
        </w:rPr>
        <w:t>, E</w:t>
      </w:r>
      <w:r w:rsidRPr="00353E25">
        <w:rPr>
          <w:rFonts w:ascii="Times New Roman" w:hAnsi="Times New Roman" w:cs="Times New Roman"/>
          <w:smallCaps/>
        </w:rPr>
        <w:t>t</w:t>
      </w:r>
      <w:r w:rsidRPr="000E14DB">
        <w:rPr>
          <w:rFonts w:ascii="Times New Roman" w:hAnsi="Times New Roman" w:cs="Times New Roman"/>
        </w:rPr>
        <w:t xml:space="preserve"> </w:t>
      </w:r>
      <w:r w:rsidRPr="00353E25">
        <w:rPr>
          <w:rFonts w:ascii="Times New Roman" w:hAnsi="Times New Roman" w:cs="Times New Roman"/>
          <w:smallCaps/>
        </w:rPr>
        <w:t>al.</w:t>
      </w:r>
      <w:r w:rsidRPr="000E14DB">
        <w:rPr>
          <w:rFonts w:ascii="Times New Roman" w:hAnsi="Times New Roman" w:cs="Times New Roman"/>
        </w:rPr>
        <w:t>, H</w:t>
      </w:r>
      <w:r w:rsidRPr="00353E25">
        <w:rPr>
          <w:rFonts w:ascii="Times New Roman" w:hAnsi="Times New Roman" w:cs="Times New Roman"/>
          <w:smallCaps/>
        </w:rPr>
        <w:t>ealth</w:t>
      </w:r>
      <w:r w:rsidRPr="000E14DB">
        <w:rPr>
          <w:rFonts w:ascii="Times New Roman" w:hAnsi="Times New Roman" w:cs="Times New Roman"/>
        </w:rPr>
        <w:t xml:space="preserve"> L</w:t>
      </w:r>
      <w:r w:rsidRPr="00353E25">
        <w:rPr>
          <w:rFonts w:ascii="Times New Roman" w:hAnsi="Times New Roman" w:cs="Times New Roman"/>
          <w:smallCaps/>
        </w:rPr>
        <w:t>aw</w:t>
      </w:r>
      <w:r w:rsidRPr="000E14DB">
        <w:rPr>
          <w:rFonts w:ascii="Times New Roman" w:hAnsi="Times New Roman" w:cs="Times New Roman"/>
        </w:rPr>
        <w:t>: C</w:t>
      </w:r>
      <w:r w:rsidRPr="00353E25">
        <w:rPr>
          <w:rFonts w:ascii="Times New Roman" w:hAnsi="Times New Roman" w:cs="Times New Roman"/>
          <w:smallCaps/>
        </w:rPr>
        <w:t>ases</w:t>
      </w:r>
      <w:r w:rsidRPr="000E14DB">
        <w:rPr>
          <w:rFonts w:ascii="Times New Roman" w:hAnsi="Times New Roman" w:cs="Times New Roman"/>
        </w:rPr>
        <w:t>, M</w:t>
      </w:r>
      <w:r w:rsidRPr="00353E25">
        <w:rPr>
          <w:rFonts w:ascii="Times New Roman" w:hAnsi="Times New Roman" w:cs="Times New Roman"/>
          <w:smallCaps/>
        </w:rPr>
        <w:t>aterials</w:t>
      </w:r>
      <w:r w:rsidRPr="000E14DB">
        <w:rPr>
          <w:rFonts w:ascii="Times New Roman" w:hAnsi="Times New Roman" w:cs="Times New Roman"/>
        </w:rPr>
        <w:t xml:space="preserve"> </w:t>
      </w:r>
      <w:r w:rsidRPr="00353E25">
        <w:rPr>
          <w:rFonts w:ascii="Times New Roman" w:hAnsi="Times New Roman" w:cs="Times New Roman"/>
          <w:smallCaps/>
        </w:rPr>
        <w:t>and</w:t>
      </w:r>
      <w:r w:rsidRPr="000E14DB">
        <w:rPr>
          <w:rFonts w:ascii="Times New Roman" w:hAnsi="Times New Roman" w:cs="Times New Roman"/>
        </w:rPr>
        <w:t xml:space="preserve"> P</w:t>
      </w:r>
      <w:r w:rsidRPr="00353E25">
        <w:rPr>
          <w:rFonts w:ascii="Times New Roman" w:hAnsi="Times New Roman" w:cs="Times New Roman"/>
          <w:smallCaps/>
        </w:rPr>
        <w:t>roblems</w:t>
      </w:r>
      <w:r w:rsidRPr="000E14DB">
        <w:rPr>
          <w:rFonts w:ascii="Times New Roman" w:hAnsi="Times New Roman" w:cs="Times New Roman"/>
        </w:rPr>
        <w:t xml:space="preserve"> (8th ed</w:t>
      </w:r>
      <w:r w:rsidR="00353E25">
        <w:rPr>
          <w:rFonts w:ascii="Times New Roman" w:hAnsi="Times New Roman" w:cs="Times New Roman"/>
        </w:rPr>
        <w:t>.</w:t>
      </w:r>
      <w:r w:rsidRPr="000E14DB">
        <w:rPr>
          <w:rFonts w:ascii="Times New Roman" w:hAnsi="Times New Roman" w:cs="Times New Roman"/>
        </w:rPr>
        <w:t>, West Academic 2018).</w:t>
      </w:r>
    </w:p>
  </w:footnote>
  <w:footnote w:id="31">
    <w:p w14:paraId="31903842" w14:textId="7C614EA9" w:rsidR="002D5303" w:rsidRPr="000E14DB" w:rsidRDefault="002D5303">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00C25BC2" w:rsidRPr="000E14DB">
        <w:rPr>
          <w:rFonts w:ascii="Times New Roman" w:hAnsi="Times New Roman" w:cs="Times New Roman"/>
          <w:i/>
          <w:iCs/>
        </w:rPr>
        <w:t>See</w:t>
      </w:r>
      <w:r w:rsidR="00C25BC2" w:rsidRPr="000E14DB">
        <w:rPr>
          <w:rFonts w:ascii="Times New Roman" w:hAnsi="Times New Roman" w:cs="Times New Roman"/>
        </w:rPr>
        <w:t xml:space="preserve"> </w:t>
      </w:r>
      <w:r w:rsidR="007A2AB5" w:rsidRPr="000E14DB">
        <w:rPr>
          <w:rFonts w:ascii="Times New Roman" w:hAnsi="Times New Roman" w:cs="Times New Roman"/>
        </w:rPr>
        <w:t xml:space="preserve">Roberts, Chernew, McWilliams, </w:t>
      </w:r>
      <w:r w:rsidR="00EB5680" w:rsidRPr="000E14DB">
        <w:rPr>
          <w:rFonts w:ascii="Times New Roman" w:hAnsi="Times New Roman" w:cs="Times New Roman"/>
          <w:i/>
          <w:iCs/>
        </w:rPr>
        <w:t>supra</w:t>
      </w:r>
      <w:r w:rsidR="00EE21E5" w:rsidRPr="000E14DB">
        <w:rPr>
          <w:rFonts w:ascii="Times New Roman" w:hAnsi="Times New Roman" w:cs="Times New Roman"/>
          <w:i/>
          <w:iCs/>
        </w:rPr>
        <w:t xml:space="preserve"> </w:t>
      </w:r>
      <w:r w:rsidR="00EE21E5" w:rsidRPr="000E14DB">
        <w:rPr>
          <w:rFonts w:ascii="Times New Roman" w:hAnsi="Times New Roman" w:cs="Times New Roman"/>
        </w:rPr>
        <w:t>note 24.</w:t>
      </w:r>
    </w:p>
  </w:footnote>
  <w:footnote w:id="32">
    <w:p w14:paraId="72615176" w14:textId="0BF48AEC" w:rsidR="007A2AB5" w:rsidRPr="000E14DB" w:rsidRDefault="007A2AB5">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Pr="000E14DB">
        <w:rPr>
          <w:rFonts w:ascii="Times New Roman" w:hAnsi="Times New Roman" w:cs="Times New Roman"/>
          <w:i/>
          <w:iCs/>
        </w:rPr>
        <w:t>Id.</w:t>
      </w:r>
      <w:r w:rsidR="00EE21E5" w:rsidRPr="000E14DB">
        <w:rPr>
          <w:rFonts w:ascii="Times New Roman" w:hAnsi="Times New Roman" w:cs="Times New Roman"/>
          <w:i/>
          <w:iCs/>
        </w:rPr>
        <w:t xml:space="preserve"> </w:t>
      </w:r>
    </w:p>
  </w:footnote>
  <w:footnote w:id="33">
    <w:p w14:paraId="1965136C" w14:textId="676B6326" w:rsidR="007A2AB5" w:rsidRPr="000E14DB" w:rsidRDefault="007A2AB5">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Pr="000E14DB">
        <w:rPr>
          <w:rFonts w:ascii="Times New Roman" w:hAnsi="Times New Roman" w:cs="Times New Roman"/>
          <w:i/>
          <w:iCs/>
        </w:rPr>
        <w:t>Id.</w:t>
      </w:r>
    </w:p>
  </w:footnote>
  <w:footnote w:id="34">
    <w:p w14:paraId="7A256392" w14:textId="758A8872" w:rsidR="002A0633" w:rsidRPr="000E14DB" w:rsidRDefault="002A0633">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Pr="000E14DB">
        <w:rPr>
          <w:rFonts w:ascii="Times New Roman" w:hAnsi="Times New Roman" w:cs="Times New Roman"/>
          <w:i/>
          <w:iCs/>
        </w:rPr>
        <w:t>Id.</w:t>
      </w:r>
    </w:p>
  </w:footnote>
  <w:footnote w:id="35">
    <w:p w14:paraId="78900DA4" w14:textId="29D60694" w:rsidR="000A4B65" w:rsidRPr="000E14DB" w:rsidRDefault="000A4B65">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Pr="000E14DB">
        <w:rPr>
          <w:rFonts w:ascii="Times New Roman" w:hAnsi="Times New Roman" w:cs="Times New Roman"/>
          <w:i/>
          <w:iCs/>
        </w:rPr>
        <w:t>Id.</w:t>
      </w:r>
    </w:p>
  </w:footnote>
  <w:footnote w:id="36">
    <w:p w14:paraId="225B7C1F" w14:textId="746EB552" w:rsidR="00D7150C" w:rsidRPr="000E14DB" w:rsidRDefault="00D7150C">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00F16E4F" w:rsidRPr="000E14DB">
        <w:rPr>
          <w:rFonts w:ascii="Times New Roman" w:hAnsi="Times New Roman" w:cs="Times New Roman"/>
        </w:rPr>
        <w:t xml:space="preserve">Anne Wilde </w:t>
      </w:r>
      <w:r w:rsidR="00082A67" w:rsidRPr="000E14DB">
        <w:rPr>
          <w:rFonts w:ascii="Times New Roman" w:hAnsi="Times New Roman" w:cs="Times New Roman"/>
        </w:rPr>
        <w:t>Mathews</w:t>
      </w:r>
      <w:r w:rsidRPr="000E14DB">
        <w:rPr>
          <w:rFonts w:ascii="Times New Roman" w:hAnsi="Times New Roman" w:cs="Times New Roman"/>
        </w:rPr>
        <w:t xml:space="preserve">, </w:t>
      </w:r>
      <w:r w:rsidR="00082A67" w:rsidRPr="000E14DB">
        <w:rPr>
          <w:rFonts w:ascii="Times New Roman" w:hAnsi="Times New Roman" w:cs="Times New Roman"/>
          <w:i/>
          <w:iCs/>
        </w:rPr>
        <w:t>Behind Your Rising Health-Care Bills: Secret Hospital Deals That Squelch Competition</w:t>
      </w:r>
      <w:r w:rsidRPr="000E14DB">
        <w:rPr>
          <w:rFonts w:ascii="Times New Roman" w:hAnsi="Times New Roman" w:cs="Times New Roman"/>
          <w:i/>
          <w:iCs/>
        </w:rPr>
        <w:t xml:space="preserve">, </w:t>
      </w:r>
      <w:r w:rsidR="00082A67" w:rsidRPr="000E14DB">
        <w:rPr>
          <w:rFonts w:ascii="Times New Roman" w:hAnsi="Times New Roman" w:cs="Times New Roman"/>
        </w:rPr>
        <w:t>W</w:t>
      </w:r>
      <w:r w:rsidR="00082A67" w:rsidRPr="00353E25">
        <w:rPr>
          <w:rFonts w:ascii="Times New Roman" w:hAnsi="Times New Roman" w:cs="Times New Roman"/>
          <w:smallCaps/>
        </w:rPr>
        <w:t>all</w:t>
      </w:r>
      <w:r w:rsidR="00082A67" w:rsidRPr="000E14DB">
        <w:rPr>
          <w:rFonts w:ascii="Times New Roman" w:hAnsi="Times New Roman" w:cs="Times New Roman"/>
        </w:rPr>
        <w:t xml:space="preserve"> S</w:t>
      </w:r>
      <w:r w:rsidR="00082A67" w:rsidRPr="00353E25">
        <w:rPr>
          <w:rFonts w:ascii="Times New Roman" w:hAnsi="Times New Roman" w:cs="Times New Roman"/>
          <w:smallCaps/>
        </w:rPr>
        <w:t>t</w:t>
      </w:r>
      <w:r w:rsidR="00353E25">
        <w:rPr>
          <w:rFonts w:ascii="Times New Roman" w:hAnsi="Times New Roman" w:cs="Times New Roman"/>
        </w:rPr>
        <w:t xml:space="preserve">. </w:t>
      </w:r>
      <w:r w:rsidR="00082A67" w:rsidRPr="000E14DB">
        <w:rPr>
          <w:rFonts w:ascii="Times New Roman" w:hAnsi="Times New Roman" w:cs="Times New Roman"/>
        </w:rPr>
        <w:t>J</w:t>
      </w:r>
      <w:r w:rsidR="00353E25">
        <w:rPr>
          <w:rFonts w:ascii="Times New Roman" w:hAnsi="Times New Roman" w:cs="Times New Roman"/>
        </w:rPr>
        <w:t>.</w:t>
      </w:r>
      <w:r w:rsidRPr="000E14DB">
        <w:rPr>
          <w:rFonts w:ascii="Times New Roman" w:hAnsi="Times New Roman" w:cs="Times New Roman"/>
        </w:rPr>
        <w:t xml:space="preserve"> (</w:t>
      </w:r>
      <w:r w:rsidR="00082A67" w:rsidRPr="000E14DB">
        <w:rPr>
          <w:rFonts w:ascii="Times New Roman" w:hAnsi="Times New Roman" w:cs="Times New Roman"/>
        </w:rPr>
        <w:t>Sep</w:t>
      </w:r>
      <w:r w:rsidRPr="000E14DB">
        <w:rPr>
          <w:rFonts w:ascii="Times New Roman" w:hAnsi="Times New Roman" w:cs="Times New Roman"/>
        </w:rPr>
        <w:t xml:space="preserve">. </w:t>
      </w:r>
      <w:r w:rsidR="00082A67" w:rsidRPr="000E14DB">
        <w:rPr>
          <w:rFonts w:ascii="Times New Roman" w:hAnsi="Times New Roman" w:cs="Times New Roman"/>
        </w:rPr>
        <w:t>18</w:t>
      </w:r>
      <w:r w:rsidRPr="000E14DB">
        <w:rPr>
          <w:rFonts w:ascii="Times New Roman" w:hAnsi="Times New Roman" w:cs="Times New Roman"/>
        </w:rPr>
        <w:t xml:space="preserve">, 2018), </w:t>
      </w:r>
      <w:r w:rsidR="00082A67" w:rsidRPr="000E14DB">
        <w:rPr>
          <w:rFonts w:ascii="Times New Roman" w:hAnsi="Times New Roman" w:cs="Times New Roman"/>
        </w:rPr>
        <w:t>https://www.wsj.com/articles/behind-your-rising-health-care-bills-secret-hospital-deals-that-squelch-competition-1537281963?mod=article_inline</w:t>
      </w:r>
    </w:p>
  </w:footnote>
  <w:footnote w:id="37">
    <w:p w14:paraId="1F9E744F" w14:textId="71FCE5CB" w:rsidR="00C40822" w:rsidRPr="000E14DB" w:rsidRDefault="00C40822">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Pr="000E14DB">
        <w:rPr>
          <w:rFonts w:ascii="Times New Roman" w:hAnsi="Times New Roman" w:cs="Times New Roman"/>
          <w:i/>
          <w:iCs/>
        </w:rPr>
        <w:t>Id.</w:t>
      </w:r>
    </w:p>
  </w:footnote>
  <w:footnote w:id="38">
    <w:p w14:paraId="7F357693" w14:textId="4F99B7BD" w:rsidR="00C40822" w:rsidRPr="000E14DB" w:rsidRDefault="00C40822">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Pr="000E14DB">
        <w:rPr>
          <w:rFonts w:ascii="Times New Roman" w:hAnsi="Times New Roman" w:cs="Times New Roman"/>
          <w:i/>
          <w:iCs/>
        </w:rPr>
        <w:t>Id.</w:t>
      </w:r>
    </w:p>
  </w:footnote>
  <w:footnote w:id="39">
    <w:p w14:paraId="391BA8BF" w14:textId="63B1D33F" w:rsidR="00C35982" w:rsidRPr="000E14DB" w:rsidRDefault="00C35982">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Pr="000E14DB">
        <w:rPr>
          <w:rFonts w:ascii="Times New Roman" w:hAnsi="Times New Roman" w:cs="Times New Roman"/>
          <w:i/>
          <w:iCs/>
        </w:rPr>
        <w:t>Id.</w:t>
      </w:r>
    </w:p>
  </w:footnote>
  <w:footnote w:id="40">
    <w:p w14:paraId="227EAB01" w14:textId="66176708" w:rsidR="00640F95" w:rsidRPr="000E14DB" w:rsidRDefault="00640F95">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Pr="000E14DB">
        <w:rPr>
          <w:rFonts w:ascii="Times New Roman" w:hAnsi="Times New Roman" w:cs="Times New Roman"/>
          <w:i/>
          <w:iCs/>
        </w:rPr>
        <w:t>Id.</w:t>
      </w:r>
    </w:p>
  </w:footnote>
  <w:footnote w:id="41">
    <w:p w14:paraId="24EA270C" w14:textId="1DBB784E" w:rsidR="00107192" w:rsidRPr="000E14DB" w:rsidRDefault="00107192">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00B37770" w:rsidRPr="000E14DB">
        <w:rPr>
          <w:rFonts w:ascii="Times New Roman" w:hAnsi="Times New Roman" w:cs="Times New Roman"/>
          <w:i/>
          <w:iCs/>
        </w:rPr>
        <w:t>See</w:t>
      </w:r>
      <w:r w:rsidRPr="000E14DB">
        <w:rPr>
          <w:rFonts w:ascii="Times New Roman" w:hAnsi="Times New Roman" w:cs="Times New Roman"/>
        </w:rPr>
        <w:t xml:space="preserve"> Roberts, Chernew, and McWilliams, </w:t>
      </w:r>
      <w:r w:rsidR="00B37770" w:rsidRPr="000E14DB">
        <w:rPr>
          <w:rFonts w:ascii="Times New Roman" w:hAnsi="Times New Roman" w:cs="Times New Roman"/>
          <w:i/>
          <w:iCs/>
        </w:rPr>
        <w:t>supra</w:t>
      </w:r>
      <w:r w:rsidR="0080654A" w:rsidRPr="000E14DB">
        <w:rPr>
          <w:rFonts w:ascii="Times New Roman" w:hAnsi="Times New Roman" w:cs="Times New Roman"/>
          <w:i/>
          <w:iCs/>
        </w:rPr>
        <w:t xml:space="preserve"> </w:t>
      </w:r>
      <w:r w:rsidR="0080654A" w:rsidRPr="000E14DB">
        <w:rPr>
          <w:rFonts w:ascii="Times New Roman" w:hAnsi="Times New Roman" w:cs="Times New Roman"/>
        </w:rPr>
        <w:t xml:space="preserve">note </w:t>
      </w:r>
      <w:r w:rsidR="00EE21E5" w:rsidRPr="000E14DB">
        <w:rPr>
          <w:rFonts w:ascii="Times New Roman" w:hAnsi="Times New Roman" w:cs="Times New Roman"/>
        </w:rPr>
        <w:t>24.</w:t>
      </w:r>
    </w:p>
  </w:footnote>
  <w:footnote w:id="42">
    <w:p w14:paraId="2E4FC017" w14:textId="299C9D5E" w:rsidR="001D1ED0" w:rsidRPr="000E14DB" w:rsidRDefault="001D1ED0" w:rsidP="004D71F0">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Thomas</w:t>
      </w:r>
      <w:r w:rsidR="00FE0616" w:rsidRPr="000E14DB">
        <w:rPr>
          <w:rFonts w:ascii="Times New Roman" w:hAnsi="Times New Roman" w:cs="Times New Roman"/>
        </w:rPr>
        <w:t xml:space="preserve"> L. Greaney, </w:t>
      </w:r>
      <w:r w:rsidR="004D71F0" w:rsidRPr="000E14DB">
        <w:rPr>
          <w:rFonts w:ascii="Times New Roman" w:hAnsi="Times New Roman" w:cs="Times New Roman"/>
          <w:i/>
          <w:iCs/>
        </w:rPr>
        <w:t>The State of Competition in the Health Care Marketplace: The Patient Protection and Affordable Care Act’s Impact on Competition</w:t>
      </w:r>
      <w:r w:rsidR="004D71F0" w:rsidRPr="000E14DB">
        <w:rPr>
          <w:rFonts w:ascii="Times New Roman" w:hAnsi="Times New Roman" w:cs="Times New Roman"/>
        </w:rPr>
        <w:t xml:space="preserve">, </w:t>
      </w:r>
      <w:r w:rsidR="00FE0616" w:rsidRPr="000E14DB">
        <w:rPr>
          <w:rFonts w:ascii="Times New Roman" w:hAnsi="Times New Roman" w:cs="Times New Roman"/>
        </w:rPr>
        <w:t>Prepared Statement Before the Committee on the Judiciary United States House of Representatives</w:t>
      </w:r>
      <w:r w:rsidR="004D71F0" w:rsidRPr="000E14DB">
        <w:rPr>
          <w:rFonts w:ascii="Times New Roman" w:hAnsi="Times New Roman" w:cs="Times New Roman"/>
        </w:rPr>
        <w:t>, Subcommittee on Regulatory Reform, Commercial and Antitrust Law</w:t>
      </w:r>
      <w:r w:rsidR="001C7279" w:rsidRPr="000E14DB">
        <w:rPr>
          <w:rFonts w:ascii="Times New Roman" w:hAnsi="Times New Roman" w:cs="Times New Roman"/>
        </w:rPr>
        <w:t xml:space="preserve"> (Sep. 10, 2015)</w:t>
      </w:r>
      <w:r w:rsidR="00575719" w:rsidRPr="000E14DB">
        <w:rPr>
          <w:rFonts w:ascii="Times New Roman" w:hAnsi="Times New Roman" w:cs="Times New Roman"/>
        </w:rPr>
        <w:t>, https://republicans-judiciary.house.gov/wp-content/uploads/2016/02/Greaney-Testimony.pdf</w:t>
      </w:r>
      <w:r w:rsidR="00492A4E">
        <w:rPr>
          <w:rFonts w:ascii="Times New Roman" w:hAnsi="Times New Roman" w:cs="Times New Roman"/>
        </w:rPr>
        <w:t>.</w:t>
      </w:r>
    </w:p>
  </w:footnote>
  <w:footnote w:id="43">
    <w:p w14:paraId="23AC54CD" w14:textId="1FA7E3C9" w:rsidR="002D7E7B" w:rsidRPr="000E14DB" w:rsidRDefault="002D7E7B">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000E25AF" w:rsidRPr="000E14DB">
        <w:rPr>
          <w:rFonts w:ascii="Times New Roman" w:hAnsi="Times New Roman" w:cs="Times New Roman"/>
        </w:rPr>
        <w:t>Social Security Act</w:t>
      </w:r>
      <w:r w:rsidR="00910AB3" w:rsidRPr="000E14DB">
        <w:rPr>
          <w:rFonts w:ascii="Times New Roman" w:hAnsi="Times New Roman" w:cs="Times New Roman"/>
        </w:rPr>
        <w:t>, 42 U.S.C. § 1395w–27</w:t>
      </w:r>
      <w:r w:rsidR="00DB6951" w:rsidRPr="000E14DB">
        <w:rPr>
          <w:rFonts w:ascii="Times New Roman" w:hAnsi="Times New Roman" w:cs="Times New Roman"/>
        </w:rPr>
        <w:t>(e)(4)</w:t>
      </w:r>
      <w:r w:rsidR="00A0009D" w:rsidRPr="000E14DB">
        <w:rPr>
          <w:rFonts w:ascii="Times New Roman" w:hAnsi="Times New Roman" w:cs="Times New Roman"/>
        </w:rPr>
        <w:t xml:space="preserve"> (</w:t>
      </w:r>
      <w:r w:rsidR="005F0540" w:rsidRPr="000E14DB">
        <w:rPr>
          <w:rFonts w:ascii="Times New Roman" w:hAnsi="Times New Roman" w:cs="Times New Roman"/>
        </w:rPr>
        <w:t>2010)</w:t>
      </w:r>
    </w:p>
  </w:footnote>
  <w:footnote w:id="44">
    <w:p w14:paraId="7B8B441E" w14:textId="59441828" w:rsidR="00D72E00" w:rsidRPr="000E14DB" w:rsidRDefault="00D72E00">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00B37770" w:rsidRPr="000E14DB">
        <w:rPr>
          <w:rFonts w:ascii="Times New Roman" w:hAnsi="Times New Roman" w:cs="Times New Roman"/>
          <w:i/>
          <w:iCs/>
        </w:rPr>
        <w:t>See</w:t>
      </w:r>
      <w:r w:rsidR="00B37770" w:rsidRPr="000E14DB">
        <w:rPr>
          <w:rFonts w:ascii="Times New Roman" w:hAnsi="Times New Roman" w:cs="Times New Roman"/>
        </w:rPr>
        <w:t xml:space="preserve"> Roberts, Chernew, and McWilliams, </w:t>
      </w:r>
      <w:r w:rsidR="00B37770" w:rsidRPr="000E14DB">
        <w:rPr>
          <w:rFonts w:ascii="Times New Roman" w:hAnsi="Times New Roman" w:cs="Times New Roman"/>
          <w:i/>
          <w:iCs/>
        </w:rPr>
        <w:t>supra</w:t>
      </w:r>
      <w:r w:rsidR="00EE21E5" w:rsidRPr="000E14DB">
        <w:rPr>
          <w:rFonts w:ascii="Times New Roman" w:hAnsi="Times New Roman" w:cs="Times New Roman"/>
          <w:i/>
          <w:iCs/>
        </w:rPr>
        <w:t xml:space="preserve"> </w:t>
      </w:r>
      <w:r w:rsidR="00EE21E5" w:rsidRPr="000E14DB">
        <w:rPr>
          <w:rFonts w:ascii="Times New Roman" w:hAnsi="Times New Roman" w:cs="Times New Roman"/>
        </w:rPr>
        <w:t>note 24.</w:t>
      </w:r>
    </w:p>
  </w:footnote>
  <w:footnote w:id="45">
    <w:p w14:paraId="03DF661D" w14:textId="72EEBF7B" w:rsidR="001323CC" w:rsidRPr="000E14DB" w:rsidRDefault="001323CC">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Pr="000E14DB">
        <w:rPr>
          <w:rFonts w:ascii="Times New Roman" w:hAnsi="Times New Roman" w:cs="Times New Roman"/>
          <w:i/>
          <w:iCs/>
        </w:rPr>
        <w:t>Id.</w:t>
      </w:r>
    </w:p>
  </w:footnote>
  <w:footnote w:id="46">
    <w:p w14:paraId="1070C988" w14:textId="2E3F0098" w:rsidR="00A035B8" w:rsidRPr="000E14DB" w:rsidRDefault="00A035B8">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Pr="000E14DB">
        <w:rPr>
          <w:rFonts w:ascii="Times New Roman" w:hAnsi="Times New Roman" w:cs="Times New Roman"/>
          <w:i/>
          <w:iCs/>
        </w:rPr>
        <w:t>Id.</w:t>
      </w:r>
    </w:p>
  </w:footnote>
  <w:footnote w:id="47">
    <w:p w14:paraId="356B68D5" w14:textId="42E67E2F" w:rsidR="00BD08BD" w:rsidRPr="000E14DB" w:rsidRDefault="00BD08BD">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Pr="000E14DB">
        <w:rPr>
          <w:rFonts w:ascii="Times New Roman" w:hAnsi="Times New Roman" w:cs="Times New Roman"/>
          <w:i/>
          <w:iCs/>
        </w:rPr>
        <w:t>Id.</w:t>
      </w:r>
    </w:p>
  </w:footnote>
  <w:footnote w:id="48">
    <w:p w14:paraId="4B00DC49" w14:textId="2F9AB513" w:rsidR="00844A74" w:rsidRPr="000E14DB" w:rsidRDefault="00844A74">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Pr="000E14DB">
        <w:rPr>
          <w:rFonts w:ascii="Times New Roman" w:hAnsi="Times New Roman" w:cs="Times New Roman"/>
          <w:i/>
          <w:iCs/>
        </w:rPr>
        <w:t>Id.</w:t>
      </w:r>
      <w:r w:rsidRPr="000E14DB">
        <w:rPr>
          <w:rFonts w:ascii="Times New Roman" w:hAnsi="Times New Roman" w:cs="Times New Roman"/>
        </w:rPr>
        <w:t xml:space="preserve"> (“</w:t>
      </w:r>
      <w:r w:rsidR="00984D7A" w:rsidRPr="000E14DB">
        <w:rPr>
          <w:rFonts w:ascii="Times New Roman" w:hAnsi="Times New Roman" w:cs="Times New Roman"/>
        </w:rPr>
        <w:t>I</w:t>
      </w:r>
      <w:r w:rsidRPr="000E14DB">
        <w:rPr>
          <w:rFonts w:ascii="Times New Roman" w:hAnsi="Times New Roman" w:cs="Times New Roman"/>
        </w:rPr>
        <w:t>nsurer consolidation could prompt additional provider mergers, whose countervailing effects on price negotiations might not ultimately lead to a net decline in prices.”)</w:t>
      </w:r>
    </w:p>
  </w:footnote>
  <w:footnote w:id="49">
    <w:p w14:paraId="77C844C2" w14:textId="1231DFAE" w:rsidR="006B7E76" w:rsidRPr="000E14DB" w:rsidRDefault="006B7E76">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Pr="000E14DB">
        <w:rPr>
          <w:rFonts w:ascii="Times New Roman" w:hAnsi="Times New Roman" w:cs="Times New Roman"/>
          <w:i/>
          <w:iCs/>
        </w:rPr>
        <w:t>Id.</w:t>
      </w:r>
      <w:r w:rsidRPr="000E14DB">
        <w:rPr>
          <w:rFonts w:ascii="Times New Roman" w:hAnsi="Times New Roman" w:cs="Times New Roman"/>
        </w:rPr>
        <w:t xml:space="preserve"> (“It is not clear that the lower prices negotiated by large insurers are shared with consumers in the form of lower premiums or more generous benefits.”)</w:t>
      </w:r>
    </w:p>
  </w:footnote>
  <w:footnote w:id="50">
    <w:p w14:paraId="27AA3D52" w14:textId="2B9722D9" w:rsidR="009D7B5A" w:rsidRPr="000E14DB" w:rsidRDefault="009D7B5A">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Pr="000E14DB">
        <w:rPr>
          <w:rFonts w:ascii="Times New Roman" w:hAnsi="Times New Roman" w:cs="Times New Roman"/>
          <w:i/>
          <w:iCs/>
        </w:rPr>
        <w:t xml:space="preserve">Id. </w:t>
      </w:r>
      <w:r w:rsidRPr="000E14DB">
        <w:rPr>
          <w:rFonts w:ascii="Times New Roman" w:hAnsi="Times New Roman" w:cs="Times New Roman"/>
        </w:rPr>
        <w:t>(“</w:t>
      </w:r>
      <w:r w:rsidR="005005B7" w:rsidRPr="000E14DB">
        <w:rPr>
          <w:rFonts w:ascii="Times New Roman" w:hAnsi="Times New Roman" w:cs="Times New Roman"/>
        </w:rPr>
        <w:t>S</w:t>
      </w:r>
      <w:r w:rsidRPr="000E14DB">
        <w:rPr>
          <w:rFonts w:ascii="Times New Roman" w:hAnsi="Times New Roman" w:cs="Times New Roman"/>
        </w:rPr>
        <w:t>ince much of the research on insurance market structure and premiums is based on data predating the ACA, and in light of the current political uncertainty surrounding the ACA, it is not clear whether this provision will ultimately be effective in ensuring that insurers’ savings from lower negotiated prices are passed on to consumers</w:t>
      </w:r>
      <w:r w:rsidR="005005B7" w:rsidRPr="000E14DB">
        <w:rPr>
          <w:rFonts w:ascii="Times New Roman" w:hAnsi="Times New Roman" w:cs="Times New Roman"/>
        </w:rPr>
        <w:t>.”)</w:t>
      </w:r>
    </w:p>
  </w:footnote>
  <w:footnote w:id="51">
    <w:p w14:paraId="4191E53F" w14:textId="6C2856EC" w:rsidR="00D4522A" w:rsidRPr="000E14DB" w:rsidRDefault="00D4522A">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00E230BA" w:rsidRPr="000E14DB">
        <w:rPr>
          <w:rFonts w:ascii="Times New Roman" w:hAnsi="Times New Roman" w:cs="Times New Roman"/>
        </w:rPr>
        <w:t xml:space="preserve">Jessica Heeringa, </w:t>
      </w:r>
      <w:r w:rsidR="0036218D">
        <w:rPr>
          <w:rFonts w:ascii="Times New Roman" w:hAnsi="Times New Roman" w:cs="Times New Roman"/>
        </w:rPr>
        <w:t>e</w:t>
      </w:r>
      <w:r w:rsidR="00E230BA" w:rsidRPr="000E14DB">
        <w:rPr>
          <w:rFonts w:ascii="Times New Roman" w:hAnsi="Times New Roman" w:cs="Times New Roman"/>
        </w:rPr>
        <w:t xml:space="preserve">t al., </w:t>
      </w:r>
      <w:r w:rsidR="00E230BA" w:rsidRPr="000E14DB">
        <w:rPr>
          <w:rFonts w:ascii="Times New Roman" w:hAnsi="Times New Roman" w:cs="Times New Roman"/>
          <w:i/>
          <w:iCs/>
        </w:rPr>
        <w:t>Horizontal and Vertical Integration of Health Care Providers: A Framework for Understanding Various Provider Organizational Structures</w:t>
      </w:r>
      <w:r w:rsidR="000F4B69">
        <w:rPr>
          <w:rFonts w:ascii="Times New Roman" w:hAnsi="Times New Roman" w:cs="Times New Roman"/>
          <w:i/>
          <w:iCs/>
        </w:rPr>
        <w:t xml:space="preserve">, </w:t>
      </w:r>
      <w:r w:rsidR="000F4B69" w:rsidRPr="000F4B69">
        <w:rPr>
          <w:rFonts w:ascii="Times New Roman" w:hAnsi="Times New Roman" w:cs="Times New Roman"/>
        </w:rPr>
        <w:t>I</w:t>
      </w:r>
      <w:r w:rsidR="000F4B69">
        <w:rPr>
          <w:rFonts w:ascii="Times New Roman" w:hAnsi="Times New Roman" w:cs="Times New Roman"/>
          <w:smallCaps/>
        </w:rPr>
        <w:t>nt</w:t>
      </w:r>
      <w:r w:rsidR="000F4B69">
        <w:rPr>
          <w:rFonts w:ascii="Times New Roman" w:hAnsi="Times New Roman" w:cs="Times New Roman"/>
        </w:rPr>
        <w:t>. J. I</w:t>
      </w:r>
      <w:r w:rsidR="000F4B69">
        <w:rPr>
          <w:rFonts w:ascii="Times New Roman" w:hAnsi="Times New Roman" w:cs="Times New Roman"/>
          <w:smallCaps/>
        </w:rPr>
        <w:t>ntegr</w:t>
      </w:r>
      <w:r w:rsidR="000F4B69">
        <w:rPr>
          <w:rFonts w:ascii="Times New Roman" w:hAnsi="Times New Roman" w:cs="Times New Roman"/>
        </w:rPr>
        <w:t>. C</w:t>
      </w:r>
      <w:r w:rsidR="000F4B69">
        <w:rPr>
          <w:rFonts w:ascii="Times New Roman" w:hAnsi="Times New Roman" w:cs="Times New Roman"/>
          <w:smallCaps/>
        </w:rPr>
        <w:t>are</w:t>
      </w:r>
      <w:r w:rsidR="000F4B69">
        <w:rPr>
          <w:rFonts w:ascii="Times New Roman" w:hAnsi="Times New Roman" w:cs="Times New Roman"/>
        </w:rPr>
        <w:t>,</w:t>
      </w:r>
      <w:r w:rsidR="00F902A1" w:rsidRPr="000E14DB">
        <w:rPr>
          <w:rFonts w:ascii="Times New Roman" w:hAnsi="Times New Roman" w:cs="Times New Roman"/>
        </w:rPr>
        <w:t xml:space="preserve"> (Jan. 20, 2020), https://www.ncbi.nlm.nih.gov/pmc/articles/PMC6978994/#:~:text=Between%20the%201980s%20and%20mid,as%20multihospital%20systems%20or%20multispecialty</w:t>
      </w:r>
    </w:p>
  </w:footnote>
  <w:footnote w:id="52">
    <w:p w14:paraId="1C1539CA" w14:textId="12C12A85" w:rsidR="00775361" w:rsidRPr="000E14DB" w:rsidRDefault="00775361">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Pr="000E14DB">
        <w:rPr>
          <w:rFonts w:ascii="Times New Roman" w:hAnsi="Times New Roman" w:cs="Times New Roman"/>
          <w:i/>
          <w:iCs/>
        </w:rPr>
        <w:t xml:space="preserve">See </w:t>
      </w:r>
      <w:r w:rsidRPr="000E14DB">
        <w:rPr>
          <w:rFonts w:ascii="Times New Roman" w:hAnsi="Times New Roman" w:cs="Times New Roman"/>
        </w:rPr>
        <w:t xml:space="preserve">Brown </w:t>
      </w:r>
      <w:r w:rsidR="00B6753F" w:rsidRPr="000E14DB">
        <w:rPr>
          <w:rFonts w:ascii="Times New Roman" w:hAnsi="Times New Roman" w:cs="Times New Roman"/>
        </w:rPr>
        <w:t xml:space="preserve">&amp; </w:t>
      </w:r>
      <w:r w:rsidRPr="000E14DB">
        <w:rPr>
          <w:rFonts w:ascii="Times New Roman" w:hAnsi="Times New Roman" w:cs="Times New Roman"/>
        </w:rPr>
        <w:t xml:space="preserve">King, </w:t>
      </w:r>
      <w:r w:rsidR="00403E6A" w:rsidRPr="000E14DB">
        <w:rPr>
          <w:rFonts w:ascii="Times New Roman" w:hAnsi="Times New Roman" w:cs="Times New Roman"/>
          <w:i/>
          <w:iCs/>
        </w:rPr>
        <w:t>supra</w:t>
      </w:r>
      <w:r w:rsidR="00363BB6" w:rsidRPr="000E14DB">
        <w:rPr>
          <w:rFonts w:ascii="Times New Roman" w:hAnsi="Times New Roman" w:cs="Times New Roman"/>
          <w:i/>
          <w:iCs/>
        </w:rPr>
        <w:t xml:space="preserve"> </w:t>
      </w:r>
      <w:r w:rsidR="00363BB6" w:rsidRPr="000E14DB">
        <w:rPr>
          <w:rFonts w:ascii="Times New Roman" w:hAnsi="Times New Roman" w:cs="Times New Roman"/>
        </w:rPr>
        <w:t>note 15</w:t>
      </w:r>
      <w:r w:rsidR="00403E6A" w:rsidRPr="000E14DB">
        <w:rPr>
          <w:rFonts w:ascii="Times New Roman" w:hAnsi="Times New Roman" w:cs="Times New Roman"/>
        </w:rPr>
        <w:t xml:space="preserve">, </w:t>
      </w:r>
      <w:r w:rsidR="008A5AEB" w:rsidRPr="000E14DB">
        <w:rPr>
          <w:rFonts w:ascii="Times New Roman" w:hAnsi="Times New Roman" w:cs="Times New Roman"/>
        </w:rPr>
        <w:t xml:space="preserve">at </w:t>
      </w:r>
      <w:r w:rsidR="00162016" w:rsidRPr="000E14DB">
        <w:rPr>
          <w:rFonts w:ascii="Times New Roman" w:hAnsi="Times New Roman" w:cs="Times New Roman"/>
        </w:rPr>
        <w:t>70-71</w:t>
      </w:r>
      <w:r w:rsidR="00363BB6" w:rsidRPr="000E14DB">
        <w:rPr>
          <w:rFonts w:ascii="Times New Roman" w:hAnsi="Times New Roman" w:cs="Times New Roman"/>
        </w:rPr>
        <w:t>.</w:t>
      </w:r>
    </w:p>
  </w:footnote>
  <w:footnote w:id="53">
    <w:p w14:paraId="4D6BEE68" w14:textId="79A8F3A4" w:rsidR="00403E6A" w:rsidRPr="000E14DB" w:rsidRDefault="00403E6A">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Pr="000E14DB">
        <w:rPr>
          <w:rFonts w:ascii="Times New Roman" w:hAnsi="Times New Roman" w:cs="Times New Roman"/>
          <w:i/>
          <w:iCs/>
        </w:rPr>
        <w:t xml:space="preserve">See </w:t>
      </w:r>
      <w:r w:rsidRPr="000E14DB">
        <w:rPr>
          <w:rFonts w:ascii="Times New Roman" w:hAnsi="Times New Roman" w:cs="Times New Roman"/>
        </w:rPr>
        <w:t xml:space="preserve">Brown </w:t>
      </w:r>
      <w:r w:rsidR="00B6753F" w:rsidRPr="000E14DB">
        <w:rPr>
          <w:rFonts w:ascii="Times New Roman" w:hAnsi="Times New Roman" w:cs="Times New Roman"/>
        </w:rPr>
        <w:t>&amp;</w:t>
      </w:r>
      <w:r w:rsidRPr="000E14DB">
        <w:rPr>
          <w:rFonts w:ascii="Times New Roman" w:hAnsi="Times New Roman" w:cs="Times New Roman"/>
        </w:rPr>
        <w:t xml:space="preserve"> King, </w:t>
      </w:r>
      <w:r w:rsidRPr="000E14DB">
        <w:rPr>
          <w:rFonts w:ascii="Times New Roman" w:hAnsi="Times New Roman" w:cs="Times New Roman"/>
          <w:i/>
          <w:iCs/>
        </w:rPr>
        <w:t>supra</w:t>
      </w:r>
      <w:r w:rsidR="00363BB6" w:rsidRPr="000E14DB">
        <w:rPr>
          <w:rFonts w:ascii="Times New Roman" w:hAnsi="Times New Roman" w:cs="Times New Roman"/>
          <w:i/>
          <w:iCs/>
        </w:rPr>
        <w:t xml:space="preserve"> </w:t>
      </w:r>
      <w:r w:rsidR="00363BB6" w:rsidRPr="000E14DB">
        <w:rPr>
          <w:rFonts w:ascii="Times New Roman" w:hAnsi="Times New Roman" w:cs="Times New Roman"/>
        </w:rPr>
        <w:t>note 15</w:t>
      </w:r>
      <w:r w:rsidRPr="000E14DB">
        <w:rPr>
          <w:rFonts w:ascii="Times New Roman" w:hAnsi="Times New Roman" w:cs="Times New Roman"/>
        </w:rPr>
        <w:t xml:space="preserve">, </w:t>
      </w:r>
      <w:r w:rsidR="008A5AEB" w:rsidRPr="000E14DB">
        <w:rPr>
          <w:rFonts w:ascii="Times New Roman" w:hAnsi="Times New Roman" w:cs="Times New Roman"/>
        </w:rPr>
        <w:t xml:space="preserve">at </w:t>
      </w:r>
      <w:r w:rsidR="00FD0A31" w:rsidRPr="000E14DB">
        <w:rPr>
          <w:rFonts w:ascii="Times New Roman" w:hAnsi="Times New Roman" w:cs="Times New Roman"/>
        </w:rPr>
        <w:t>6</w:t>
      </w:r>
      <w:r w:rsidR="00363BB6" w:rsidRPr="000E14DB">
        <w:rPr>
          <w:rFonts w:ascii="Times New Roman" w:hAnsi="Times New Roman" w:cs="Times New Roman"/>
        </w:rPr>
        <w:t>1.</w:t>
      </w:r>
    </w:p>
  </w:footnote>
  <w:footnote w:id="54">
    <w:p w14:paraId="1C7586F6" w14:textId="67B1979C" w:rsidR="00CB0769" w:rsidRPr="000E14DB" w:rsidRDefault="00CB0769">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Pr="000E14DB">
        <w:rPr>
          <w:rFonts w:ascii="Times New Roman" w:hAnsi="Times New Roman" w:cs="Times New Roman"/>
          <w:i/>
          <w:iCs/>
        </w:rPr>
        <w:t xml:space="preserve">See </w:t>
      </w:r>
      <w:r w:rsidRPr="000E14DB">
        <w:rPr>
          <w:rFonts w:ascii="Times New Roman" w:hAnsi="Times New Roman" w:cs="Times New Roman"/>
        </w:rPr>
        <w:t xml:space="preserve">Brown </w:t>
      </w:r>
      <w:r w:rsidR="00FE13BD" w:rsidRPr="000E14DB">
        <w:rPr>
          <w:rFonts w:ascii="Times New Roman" w:hAnsi="Times New Roman" w:cs="Times New Roman"/>
        </w:rPr>
        <w:t>&amp;</w:t>
      </w:r>
      <w:r w:rsidRPr="000E14DB">
        <w:rPr>
          <w:rFonts w:ascii="Times New Roman" w:hAnsi="Times New Roman" w:cs="Times New Roman"/>
        </w:rPr>
        <w:t xml:space="preserve"> King, </w:t>
      </w:r>
      <w:r w:rsidRPr="000E14DB">
        <w:rPr>
          <w:rFonts w:ascii="Times New Roman" w:hAnsi="Times New Roman" w:cs="Times New Roman"/>
          <w:i/>
          <w:iCs/>
        </w:rPr>
        <w:t>supra</w:t>
      </w:r>
      <w:r w:rsidR="00600CA0" w:rsidRPr="000E14DB">
        <w:rPr>
          <w:rFonts w:ascii="Times New Roman" w:hAnsi="Times New Roman" w:cs="Times New Roman"/>
        </w:rPr>
        <w:t xml:space="preserve"> note 15</w:t>
      </w:r>
      <w:r w:rsidRPr="000E14DB">
        <w:rPr>
          <w:rFonts w:ascii="Times New Roman" w:hAnsi="Times New Roman" w:cs="Times New Roman"/>
        </w:rPr>
        <w:t xml:space="preserve">, </w:t>
      </w:r>
      <w:r w:rsidR="00600CA0" w:rsidRPr="000E14DB">
        <w:rPr>
          <w:rFonts w:ascii="Times New Roman" w:hAnsi="Times New Roman" w:cs="Times New Roman"/>
        </w:rPr>
        <w:t xml:space="preserve">at </w:t>
      </w:r>
      <w:r w:rsidRPr="000E14DB">
        <w:rPr>
          <w:rFonts w:ascii="Times New Roman" w:hAnsi="Times New Roman" w:cs="Times New Roman"/>
        </w:rPr>
        <w:t>6</w:t>
      </w:r>
      <w:r w:rsidR="007E3F66" w:rsidRPr="000E14DB">
        <w:rPr>
          <w:rFonts w:ascii="Times New Roman" w:hAnsi="Times New Roman" w:cs="Times New Roman"/>
        </w:rPr>
        <w:t>1</w:t>
      </w:r>
      <w:r w:rsidR="00600CA0" w:rsidRPr="000E14DB">
        <w:rPr>
          <w:rFonts w:ascii="Times New Roman" w:hAnsi="Times New Roman" w:cs="Times New Roman"/>
        </w:rPr>
        <w:t>.</w:t>
      </w:r>
    </w:p>
  </w:footnote>
  <w:footnote w:id="55">
    <w:p w14:paraId="3E7DDEF2" w14:textId="0A093AA9" w:rsidR="00292592" w:rsidRPr="000E14DB" w:rsidRDefault="00292592">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Pr="000E14DB">
        <w:rPr>
          <w:rFonts w:ascii="Times New Roman" w:hAnsi="Times New Roman" w:cs="Times New Roman"/>
          <w:i/>
          <w:iCs/>
        </w:rPr>
        <w:t xml:space="preserve">See </w:t>
      </w:r>
      <w:r w:rsidRPr="000E14DB">
        <w:rPr>
          <w:rFonts w:ascii="Times New Roman" w:hAnsi="Times New Roman" w:cs="Times New Roman"/>
        </w:rPr>
        <w:t xml:space="preserve">Brown </w:t>
      </w:r>
      <w:r w:rsidR="00FE13BD" w:rsidRPr="000E14DB">
        <w:rPr>
          <w:rFonts w:ascii="Times New Roman" w:hAnsi="Times New Roman" w:cs="Times New Roman"/>
        </w:rPr>
        <w:t>&amp;</w:t>
      </w:r>
      <w:r w:rsidRPr="000E14DB">
        <w:rPr>
          <w:rFonts w:ascii="Times New Roman" w:hAnsi="Times New Roman" w:cs="Times New Roman"/>
        </w:rPr>
        <w:t xml:space="preserve"> King, </w:t>
      </w:r>
      <w:r w:rsidRPr="000E14DB">
        <w:rPr>
          <w:rFonts w:ascii="Times New Roman" w:hAnsi="Times New Roman" w:cs="Times New Roman"/>
          <w:i/>
          <w:iCs/>
        </w:rPr>
        <w:t>supra</w:t>
      </w:r>
      <w:r w:rsidRPr="000E14DB">
        <w:rPr>
          <w:rFonts w:ascii="Times New Roman" w:hAnsi="Times New Roman" w:cs="Times New Roman"/>
        </w:rPr>
        <w:t xml:space="preserve"> note 15, at 62.</w:t>
      </w:r>
    </w:p>
  </w:footnote>
  <w:footnote w:id="56">
    <w:p w14:paraId="0DAFF95F" w14:textId="6C758031" w:rsidR="00CA2A18" w:rsidRPr="000E14DB" w:rsidRDefault="00CA2A18">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Pr="000E14DB">
        <w:rPr>
          <w:rFonts w:ascii="Times New Roman" w:hAnsi="Times New Roman" w:cs="Times New Roman"/>
          <w:i/>
          <w:iCs/>
        </w:rPr>
        <w:t xml:space="preserve">See </w:t>
      </w:r>
      <w:r w:rsidRPr="000E14DB">
        <w:rPr>
          <w:rFonts w:ascii="Times New Roman" w:hAnsi="Times New Roman" w:cs="Times New Roman"/>
        </w:rPr>
        <w:t xml:space="preserve">Brown &amp; King, </w:t>
      </w:r>
      <w:r w:rsidRPr="000E14DB">
        <w:rPr>
          <w:rFonts w:ascii="Times New Roman" w:hAnsi="Times New Roman" w:cs="Times New Roman"/>
          <w:i/>
          <w:iCs/>
        </w:rPr>
        <w:t>supra</w:t>
      </w:r>
      <w:r w:rsidRPr="000E14DB">
        <w:rPr>
          <w:rFonts w:ascii="Times New Roman" w:hAnsi="Times New Roman" w:cs="Times New Roman"/>
        </w:rPr>
        <w:t xml:space="preserve"> note 15, at 62.</w:t>
      </w:r>
    </w:p>
  </w:footnote>
  <w:footnote w:id="57">
    <w:p w14:paraId="29DDD6F1" w14:textId="0CDEC475" w:rsidR="005C16B4" w:rsidRPr="000E14DB" w:rsidRDefault="005C16B4" w:rsidP="00755303">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00755303" w:rsidRPr="000E14DB">
        <w:rPr>
          <w:rFonts w:ascii="Times New Roman" w:hAnsi="Times New Roman" w:cs="Times New Roman"/>
        </w:rPr>
        <w:t xml:space="preserve">Atul Gawande, </w:t>
      </w:r>
      <w:r w:rsidR="00755303" w:rsidRPr="000E14DB">
        <w:rPr>
          <w:rFonts w:ascii="Times New Roman" w:hAnsi="Times New Roman" w:cs="Times New Roman"/>
          <w:i/>
          <w:iCs/>
        </w:rPr>
        <w:t>The Cost Conundrum</w:t>
      </w:r>
      <w:r w:rsidR="00755303" w:rsidRPr="000E14DB">
        <w:rPr>
          <w:rFonts w:ascii="Times New Roman" w:hAnsi="Times New Roman" w:cs="Times New Roman"/>
        </w:rPr>
        <w:t xml:space="preserve">, </w:t>
      </w:r>
      <w:r w:rsidR="00C60A06" w:rsidRPr="000E14DB">
        <w:rPr>
          <w:rFonts w:ascii="Times New Roman" w:hAnsi="Times New Roman" w:cs="Times New Roman"/>
        </w:rPr>
        <w:t>T</w:t>
      </w:r>
      <w:r w:rsidR="00C60A06" w:rsidRPr="000F4B69">
        <w:rPr>
          <w:rFonts w:ascii="Times New Roman" w:hAnsi="Times New Roman" w:cs="Times New Roman"/>
          <w:smallCaps/>
        </w:rPr>
        <w:t>he</w:t>
      </w:r>
      <w:r w:rsidR="00C60A06" w:rsidRPr="000E14DB">
        <w:rPr>
          <w:rFonts w:ascii="Times New Roman" w:hAnsi="Times New Roman" w:cs="Times New Roman"/>
        </w:rPr>
        <w:t xml:space="preserve"> N</w:t>
      </w:r>
      <w:r w:rsidR="00C60A06" w:rsidRPr="000F4B69">
        <w:rPr>
          <w:rFonts w:ascii="Times New Roman" w:hAnsi="Times New Roman" w:cs="Times New Roman"/>
          <w:smallCaps/>
        </w:rPr>
        <w:t>ew</w:t>
      </w:r>
      <w:r w:rsidR="00C60A06" w:rsidRPr="000E14DB">
        <w:rPr>
          <w:rFonts w:ascii="Times New Roman" w:hAnsi="Times New Roman" w:cs="Times New Roman"/>
        </w:rPr>
        <w:t xml:space="preserve"> Y</w:t>
      </w:r>
      <w:r w:rsidR="00C60A06" w:rsidRPr="000F4B69">
        <w:rPr>
          <w:rFonts w:ascii="Times New Roman" w:hAnsi="Times New Roman" w:cs="Times New Roman"/>
          <w:smallCaps/>
        </w:rPr>
        <w:t>orker</w:t>
      </w:r>
      <w:r w:rsidR="00755303" w:rsidRPr="000E14DB">
        <w:rPr>
          <w:rFonts w:ascii="Times New Roman" w:hAnsi="Times New Roman" w:cs="Times New Roman"/>
        </w:rPr>
        <w:t xml:space="preserve"> (Jun. 1, 2009), http://www .newyorker.com/magazine/2009/06/01/the-cost-conundrum [https://perma.cc/5JHY-4WV4].</w:t>
      </w:r>
    </w:p>
  </w:footnote>
  <w:footnote w:id="58">
    <w:p w14:paraId="4F761AA6" w14:textId="2545CDEE" w:rsidR="00F849F8" w:rsidRPr="000E14DB" w:rsidRDefault="00F849F8">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006C79F2" w:rsidRPr="000E14DB">
        <w:rPr>
          <w:rFonts w:ascii="Times New Roman" w:hAnsi="Times New Roman" w:cs="Times New Roman"/>
          <w:i/>
          <w:iCs/>
        </w:rPr>
        <w:t xml:space="preserve">See </w:t>
      </w:r>
      <w:r w:rsidR="006C79F2" w:rsidRPr="000E14DB">
        <w:rPr>
          <w:rFonts w:ascii="Times New Roman" w:hAnsi="Times New Roman" w:cs="Times New Roman"/>
        </w:rPr>
        <w:t xml:space="preserve">Brown &amp; King, </w:t>
      </w:r>
      <w:r w:rsidR="006C79F2" w:rsidRPr="000E14DB">
        <w:rPr>
          <w:rFonts w:ascii="Times New Roman" w:hAnsi="Times New Roman" w:cs="Times New Roman"/>
          <w:i/>
          <w:iCs/>
        </w:rPr>
        <w:t>supra</w:t>
      </w:r>
      <w:r w:rsidR="006C79F2" w:rsidRPr="000E14DB">
        <w:rPr>
          <w:rFonts w:ascii="Times New Roman" w:hAnsi="Times New Roman" w:cs="Times New Roman"/>
        </w:rPr>
        <w:t xml:space="preserve"> note 15, at 57.</w:t>
      </w:r>
    </w:p>
  </w:footnote>
  <w:footnote w:id="59">
    <w:p w14:paraId="67BBC772" w14:textId="5C6B0EE2" w:rsidR="006721E2" w:rsidRPr="000E14DB" w:rsidRDefault="006721E2">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00387020" w:rsidRPr="000E14DB">
        <w:rPr>
          <w:rFonts w:ascii="Times New Roman" w:hAnsi="Times New Roman" w:cs="Times New Roman"/>
          <w:i/>
          <w:iCs/>
        </w:rPr>
        <w:t xml:space="preserve">See </w:t>
      </w:r>
      <w:r w:rsidR="00BB5249" w:rsidRPr="000E14DB">
        <w:rPr>
          <w:rFonts w:ascii="Times New Roman" w:hAnsi="Times New Roman" w:cs="Times New Roman"/>
        </w:rPr>
        <w:t>Gawande</w:t>
      </w:r>
      <w:r w:rsidR="00387020" w:rsidRPr="000E14DB">
        <w:rPr>
          <w:rFonts w:ascii="Times New Roman" w:hAnsi="Times New Roman" w:cs="Times New Roman"/>
        </w:rPr>
        <w:t xml:space="preserve">, </w:t>
      </w:r>
      <w:r w:rsidR="00387020" w:rsidRPr="000E14DB">
        <w:rPr>
          <w:rFonts w:ascii="Times New Roman" w:hAnsi="Times New Roman" w:cs="Times New Roman"/>
          <w:i/>
          <w:iCs/>
        </w:rPr>
        <w:t>supra</w:t>
      </w:r>
      <w:r w:rsidR="00387020" w:rsidRPr="000E14DB">
        <w:rPr>
          <w:rFonts w:ascii="Times New Roman" w:hAnsi="Times New Roman" w:cs="Times New Roman"/>
        </w:rPr>
        <w:t xml:space="preserve"> note </w:t>
      </w:r>
      <w:r w:rsidR="00BB5249" w:rsidRPr="000E14DB">
        <w:rPr>
          <w:rFonts w:ascii="Times New Roman" w:hAnsi="Times New Roman" w:cs="Times New Roman"/>
        </w:rPr>
        <w:t>57</w:t>
      </w:r>
      <w:r w:rsidR="00387020" w:rsidRPr="000E14DB">
        <w:rPr>
          <w:rFonts w:ascii="Times New Roman" w:hAnsi="Times New Roman" w:cs="Times New Roman"/>
        </w:rPr>
        <w:t>.</w:t>
      </w:r>
    </w:p>
  </w:footnote>
  <w:footnote w:id="60">
    <w:p w14:paraId="728DE199" w14:textId="11FA715E" w:rsidR="00BB5249" w:rsidRPr="000E14DB" w:rsidRDefault="00BB5249">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Pr="000E14DB">
        <w:rPr>
          <w:rFonts w:ascii="Times New Roman" w:hAnsi="Times New Roman" w:cs="Times New Roman"/>
          <w:i/>
          <w:iCs/>
        </w:rPr>
        <w:t>Id.</w:t>
      </w:r>
    </w:p>
  </w:footnote>
  <w:footnote w:id="61">
    <w:p w14:paraId="37579111" w14:textId="60CFC469" w:rsidR="00702DED" w:rsidRPr="000E14DB" w:rsidRDefault="00702DED">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Pr="000E14DB">
        <w:rPr>
          <w:rFonts w:ascii="Times New Roman" w:hAnsi="Times New Roman" w:cs="Times New Roman"/>
          <w:i/>
          <w:iCs/>
        </w:rPr>
        <w:t>Id.</w:t>
      </w:r>
    </w:p>
  </w:footnote>
  <w:footnote w:id="62">
    <w:p w14:paraId="7ED58C49" w14:textId="7DE34284" w:rsidR="004A1107" w:rsidRPr="000E14DB" w:rsidRDefault="004A1107">
      <w:pPr>
        <w:pStyle w:val="FootnoteText"/>
        <w:rPr>
          <w:rFonts w:ascii="Times New Roman" w:hAnsi="Times New Roman" w:cs="Times New Roman"/>
        </w:rPr>
      </w:pPr>
      <w:r w:rsidRPr="000E14DB">
        <w:rPr>
          <w:rStyle w:val="FootnoteReference"/>
          <w:rFonts w:ascii="Times New Roman" w:hAnsi="Times New Roman" w:cs="Times New Roman"/>
        </w:rPr>
        <w:footnoteRef/>
      </w:r>
      <w:r w:rsidRPr="000E14DB">
        <w:rPr>
          <w:rFonts w:ascii="Times New Roman" w:hAnsi="Times New Roman" w:cs="Times New Roman"/>
        </w:rPr>
        <w:t xml:space="preserve"> </w:t>
      </w:r>
      <w:r w:rsidR="007711B6" w:rsidRPr="000E14DB">
        <w:rPr>
          <w:rFonts w:ascii="Times New Roman" w:hAnsi="Times New Roman" w:cs="Times New Roman"/>
          <w:i/>
          <w:iCs/>
        </w:rPr>
        <w:t>Id</w:t>
      </w:r>
      <w:r w:rsidR="000E14DB">
        <w:rPr>
          <w:rFonts w:ascii="Times New Roman" w:hAnsi="Times New Roman" w:cs="Times New Roman"/>
          <w:i/>
          <w:iCs/>
        </w:rPr>
        <w:t>.</w:t>
      </w:r>
      <w:r w:rsidR="000E14DB">
        <w:rPr>
          <w:rFonts w:ascii="Times New Roman" w:hAnsi="Times New Roman" w:cs="Times New Roman"/>
        </w:rPr>
        <w:t>;</w:t>
      </w:r>
      <w:r w:rsidR="00A96602" w:rsidRPr="000E14DB">
        <w:rPr>
          <w:rFonts w:ascii="Times New Roman" w:hAnsi="Times New Roman" w:cs="Times New Roman"/>
          <w:i/>
          <w:iCs/>
        </w:rPr>
        <w:t xml:space="preserve"> see also </w:t>
      </w:r>
      <w:r w:rsidR="00A96602" w:rsidRPr="000E14DB">
        <w:rPr>
          <w:rFonts w:ascii="Times New Roman" w:hAnsi="Times New Roman" w:cs="Times New Roman"/>
        </w:rPr>
        <w:t xml:space="preserve">Brown &amp; King, </w:t>
      </w:r>
      <w:r w:rsidR="00A96602" w:rsidRPr="000E14DB">
        <w:rPr>
          <w:rFonts w:ascii="Times New Roman" w:hAnsi="Times New Roman" w:cs="Times New Roman"/>
          <w:i/>
          <w:iCs/>
        </w:rPr>
        <w:t>supra</w:t>
      </w:r>
      <w:r w:rsidR="00A96602" w:rsidRPr="000E14DB">
        <w:rPr>
          <w:rFonts w:ascii="Times New Roman" w:hAnsi="Times New Roman" w:cs="Times New Roman"/>
        </w:rPr>
        <w:t xml:space="preserve"> note 15, at 57.</w:t>
      </w:r>
    </w:p>
  </w:footnote>
  <w:footnote w:id="63">
    <w:p w14:paraId="5C63667C" w14:textId="079B4D3D" w:rsidR="00D3435A" w:rsidRPr="00431F05" w:rsidRDefault="00D3435A" w:rsidP="00431F05">
      <w:pPr>
        <w:pStyle w:val="FootnoteText"/>
        <w:rPr>
          <w:rFonts w:ascii="Times New Roman" w:hAnsi="Times New Roman" w:cs="Times New Roman"/>
          <w:i/>
          <w:iCs/>
        </w:rPr>
      </w:pPr>
      <w:r>
        <w:rPr>
          <w:rStyle w:val="FootnoteReference"/>
        </w:rPr>
        <w:footnoteRef/>
      </w:r>
      <w:r>
        <w:t xml:space="preserve"> </w:t>
      </w:r>
      <w:r w:rsidR="0003149C" w:rsidRPr="00431F05">
        <w:rPr>
          <w:rFonts w:ascii="Times New Roman" w:hAnsi="Times New Roman" w:cs="Times New Roman"/>
          <w:i/>
          <w:iCs/>
        </w:rPr>
        <w:t xml:space="preserve">See </w:t>
      </w:r>
      <w:r w:rsidR="0003149C" w:rsidRPr="00431F05">
        <w:rPr>
          <w:rFonts w:ascii="Times New Roman" w:hAnsi="Times New Roman" w:cs="Times New Roman"/>
        </w:rPr>
        <w:t xml:space="preserve">Brown &amp; King, </w:t>
      </w:r>
      <w:r w:rsidR="0003149C" w:rsidRPr="00431F05">
        <w:rPr>
          <w:rFonts w:ascii="Times New Roman" w:hAnsi="Times New Roman" w:cs="Times New Roman"/>
          <w:i/>
          <w:iCs/>
        </w:rPr>
        <w:t>supra</w:t>
      </w:r>
      <w:r w:rsidR="0003149C" w:rsidRPr="00431F05">
        <w:rPr>
          <w:rFonts w:ascii="Times New Roman" w:hAnsi="Times New Roman" w:cs="Times New Roman"/>
        </w:rPr>
        <w:t xml:space="preserve"> note 15, at 58.; </w:t>
      </w:r>
      <w:r w:rsidR="0003149C" w:rsidRPr="00431F05">
        <w:rPr>
          <w:rFonts w:ascii="Times New Roman" w:hAnsi="Times New Roman" w:cs="Times New Roman"/>
          <w:i/>
          <w:iCs/>
        </w:rPr>
        <w:t>see also</w:t>
      </w:r>
      <w:r w:rsidR="00431F05" w:rsidRPr="00431F05">
        <w:rPr>
          <w:rFonts w:ascii="Times New Roman" w:hAnsi="Times New Roman" w:cs="Times New Roman"/>
        </w:rPr>
        <w:t xml:space="preserve"> Erin C. Fuse Brown</w:t>
      </w:r>
      <w:r w:rsidR="00431F05" w:rsidRPr="00431F05">
        <w:rPr>
          <w:rFonts w:ascii="Times New Roman" w:hAnsi="Times New Roman" w:cs="Times New Roman"/>
          <w:i/>
          <w:iCs/>
        </w:rPr>
        <w:t xml:space="preserve">, The Blind Spot in the Patient Protection and Affordable Care Act’s Cost-Control Policies, </w:t>
      </w:r>
      <w:r w:rsidR="00431F05" w:rsidRPr="00431F05">
        <w:rPr>
          <w:rFonts w:ascii="Times New Roman" w:hAnsi="Times New Roman" w:cs="Times New Roman"/>
        </w:rPr>
        <w:t>163 ANNALS INTERNAL MED. 871 (2015).</w:t>
      </w:r>
    </w:p>
  </w:footnote>
  <w:footnote w:id="64">
    <w:p w14:paraId="587E2941" w14:textId="150DDCD2" w:rsidR="004134DD" w:rsidRDefault="004134DD">
      <w:pPr>
        <w:pStyle w:val="FootnoteText"/>
      </w:pPr>
      <w:r>
        <w:rPr>
          <w:rStyle w:val="FootnoteReference"/>
        </w:rPr>
        <w:footnoteRef/>
      </w:r>
      <w:r>
        <w:t xml:space="preserve"> </w:t>
      </w:r>
      <w:r w:rsidR="00540BE5" w:rsidRPr="00DD5B46">
        <w:rPr>
          <w:rFonts w:ascii="Times New Roman" w:hAnsi="Times New Roman" w:cs="Times New Roman"/>
          <w:i/>
          <w:iCs/>
        </w:rPr>
        <w:t>See</w:t>
      </w:r>
      <w:r w:rsidR="00540BE5" w:rsidRPr="000E14DB">
        <w:rPr>
          <w:rFonts w:ascii="Times New Roman" w:hAnsi="Times New Roman" w:cs="Times New Roman"/>
        </w:rPr>
        <w:t xml:space="preserve"> </w:t>
      </w:r>
      <w:r w:rsidRPr="000E14DB">
        <w:rPr>
          <w:rFonts w:ascii="Times New Roman" w:hAnsi="Times New Roman" w:cs="Times New Roman"/>
        </w:rPr>
        <w:t xml:space="preserve">Brown &amp; King, </w:t>
      </w:r>
      <w:r w:rsidRPr="000E14DB">
        <w:rPr>
          <w:rFonts w:ascii="Times New Roman" w:hAnsi="Times New Roman" w:cs="Times New Roman"/>
          <w:i/>
          <w:iCs/>
        </w:rPr>
        <w:t>supra</w:t>
      </w:r>
      <w:r w:rsidRPr="000E14DB">
        <w:rPr>
          <w:rFonts w:ascii="Times New Roman" w:hAnsi="Times New Roman" w:cs="Times New Roman"/>
        </w:rPr>
        <w:t xml:space="preserve"> note 15, at </w:t>
      </w:r>
      <w:r>
        <w:rPr>
          <w:rFonts w:ascii="Times New Roman" w:hAnsi="Times New Roman" w:cs="Times New Roman"/>
        </w:rPr>
        <w:t>63</w:t>
      </w:r>
      <w:r w:rsidRPr="000E14DB">
        <w:rPr>
          <w:rFonts w:ascii="Times New Roman" w:hAnsi="Times New Roman" w:cs="Times New Roman"/>
        </w:rPr>
        <w:t>.</w:t>
      </w:r>
    </w:p>
  </w:footnote>
  <w:footnote w:id="65">
    <w:p w14:paraId="5F6A78FF" w14:textId="445CDBAC" w:rsidR="00785FE0" w:rsidRDefault="00785FE0">
      <w:pPr>
        <w:pStyle w:val="FootnoteText"/>
      </w:pPr>
      <w:r>
        <w:rPr>
          <w:rStyle w:val="FootnoteReference"/>
        </w:rPr>
        <w:footnoteRef/>
      </w:r>
      <w:r>
        <w:t xml:space="preserve"> </w:t>
      </w:r>
      <w:r w:rsidR="00DD5B46" w:rsidRPr="00DD5B46">
        <w:rPr>
          <w:rFonts w:ascii="Times New Roman" w:hAnsi="Times New Roman" w:cs="Times New Roman"/>
          <w:i/>
          <w:iCs/>
        </w:rPr>
        <w:t>See</w:t>
      </w:r>
      <w:r w:rsidRPr="000E14DB">
        <w:rPr>
          <w:rFonts w:ascii="Times New Roman" w:hAnsi="Times New Roman" w:cs="Times New Roman"/>
        </w:rPr>
        <w:t xml:space="preserve"> § 425.1</w:t>
      </w:r>
      <w:r>
        <w:rPr>
          <w:rFonts w:ascii="Times New Roman" w:hAnsi="Times New Roman" w:cs="Times New Roman"/>
        </w:rPr>
        <w:t>00</w:t>
      </w:r>
      <w:r w:rsidR="00360F18">
        <w:rPr>
          <w:rFonts w:ascii="Times New Roman" w:hAnsi="Times New Roman" w:cs="Times New Roman"/>
        </w:rPr>
        <w:t>(b)</w:t>
      </w:r>
      <w:r w:rsidR="00DD5B46">
        <w:rPr>
          <w:rFonts w:ascii="Times New Roman" w:hAnsi="Times New Roman" w:cs="Times New Roman"/>
        </w:rPr>
        <w:t xml:space="preserve">, </w:t>
      </w:r>
      <w:r w:rsidR="00DD5B46" w:rsidRPr="00DD5B46">
        <w:rPr>
          <w:rFonts w:ascii="Times New Roman" w:hAnsi="Times New Roman" w:cs="Times New Roman"/>
          <w:i/>
          <w:iCs/>
        </w:rPr>
        <w:t>supra</w:t>
      </w:r>
      <w:r w:rsidR="00DD5B46">
        <w:rPr>
          <w:rFonts w:ascii="Times New Roman" w:hAnsi="Times New Roman" w:cs="Times New Roman"/>
        </w:rPr>
        <w:t xml:space="preserve"> note 18.</w:t>
      </w:r>
    </w:p>
  </w:footnote>
  <w:footnote w:id="66">
    <w:p w14:paraId="4D8CB158" w14:textId="1931EC9A" w:rsidR="006C12C0" w:rsidRDefault="006C12C0">
      <w:pPr>
        <w:pStyle w:val="FootnoteText"/>
      </w:pPr>
      <w:r>
        <w:rPr>
          <w:rStyle w:val="FootnoteReference"/>
        </w:rPr>
        <w:footnoteRef/>
      </w:r>
      <w:r>
        <w:t xml:space="preserve"> </w:t>
      </w:r>
      <w:r w:rsidRPr="006C12C0">
        <w:rPr>
          <w:rFonts w:ascii="Times New Roman" w:hAnsi="Times New Roman" w:cs="Times New Roman"/>
          <w:i/>
          <w:iCs/>
        </w:rPr>
        <w:t>Id.</w:t>
      </w:r>
    </w:p>
  </w:footnote>
  <w:footnote w:id="67">
    <w:p w14:paraId="64E771EE" w14:textId="7301A2AA" w:rsidR="00540BE5" w:rsidRDefault="00540BE5">
      <w:pPr>
        <w:pStyle w:val="FootnoteText"/>
      </w:pPr>
      <w:r>
        <w:rPr>
          <w:rStyle w:val="FootnoteReference"/>
        </w:rPr>
        <w:footnoteRef/>
      </w:r>
      <w:r>
        <w:t xml:space="preserve"> </w:t>
      </w:r>
      <w:r w:rsidRPr="00DD5B46">
        <w:rPr>
          <w:rFonts w:ascii="Times New Roman" w:hAnsi="Times New Roman" w:cs="Times New Roman"/>
          <w:i/>
          <w:iCs/>
        </w:rPr>
        <w:t>See</w:t>
      </w:r>
      <w:r w:rsidRPr="000E14DB">
        <w:rPr>
          <w:rFonts w:ascii="Times New Roman" w:hAnsi="Times New Roman" w:cs="Times New Roman"/>
        </w:rPr>
        <w:t xml:space="preserve"> Brown &amp; King, </w:t>
      </w:r>
      <w:r w:rsidRPr="000E14DB">
        <w:rPr>
          <w:rFonts w:ascii="Times New Roman" w:hAnsi="Times New Roman" w:cs="Times New Roman"/>
          <w:i/>
          <w:iCs/>
        </w:rPr>
        <w:t>supra</w:t>
      </w:r>
      <w:r w:rsidRPr="000E14DB">
        <w:rPr>
          <w:rFonts w:ascii="Times New Roman" w:hAnsi="Times New Roman" w:cs="Times New Roman"/>
        </w:rPr>
        <w:t xml:space="preserve"> note 15, at </w:t>
      </w:r>
      <w:r>
        <w:rPr>
          <w:rFonts w:ascii="Times New Roman" w:hAnsi="Times New Roman" w:cs="Times New Roman"/>
        </w:rPr>
        <w:t>63.</w:t>
      </w:r>
    </w:p>
  </w:footnote>
  <w:footnote w:id="68">
    <w:p w14:paraId="29117975" w14:textId="4BB1FA12" w:rsidR="00CD4674" w:rsidRDefault="00CD4674">
      <w:pPr>
        <w:pStyle w:val="FootnoteText"/>
      </w:pPr>
      <w:r>
        <w:rPr>
          <w:rStyle w:val="FootnoteReference"/>
        </w:rPr>
        <w:footnoteRef/>
      </w:r>
      <w:r>
        <w:t xml:space="preserve"> </w:t>
      </w:r>
      <w:r w:rsidR="009A4A60" w:rsidRPr="00A9779D">
        <w:rPr>
          <w:rFonts w:ascii="Times New Roman" w:hAnsi="Times New Roman" w:cs="Times New Roman"/>
        </w:rPr>
        <w:t xml:space="preserve">Centers for Medicare &amp; Medicaid Services, </w:t>
      </w:r>
      <w:r w:rsidR="009A4A60" w:rsidRPr="00A9779D">
        <w:rPr>
          <w:rFonts w:ascii="Times New Roman" w:hAnsi="Times New Roman" w:cs="Times New Roman"/>
          <w:i/>
          <w:iCs/>
        </w:rPr>
        <w:t>Accountable Care Organizations</w:t>
      </w:r>
      <w:r w:rsidR="00A9779D" w:rsidRPr="00A9779D">
        <w:rPr>
          <w:rFonts w:ascii="Times New Roman" w:hAnsi="Times New Roman" w:cs="Times New Roman"/>
          <w:i/>
          <w:iCs/>
        </w:rPr>
        <w:t xml:space="preserve"> </w:t>
      </w:r>
      <w:r w:rsidR="00A9779D" w:rsidRPr="00A9779D">
        <w:rPr>
          <w:rFonts w:ascii="Times New Roman" w:hAnsi="Times New Roman" w:cs="Times New Roman"/>
        </w:rPr>
        <w:t>(Mar. 4, 2021), https://www.cms.gov/Medicare/Medicare-Fee-for-Service-Payment/ACO</w:t>
      </w:r>
      <w:r w:rsidR="00D569EF">
        <w:t>.</w:t>
      </w:r>
    </w:p>
  </w:footnote>
  <w:footnote w:id="69">
    <w:p w14:paraId="7E79B2A5" w14:textId="77777777" w:rsidR="00CB2659" w:rsidRDefault="00B21F00" w:rsidP="00CB2659">
      <w:pPr>
        <w:pStyle w:val="FootnoteText"/>
      </w:pPr>
      <w:r>
        <w:rPr>
          <w:rStyle w:val="FootnoteReference"/>
        </w:rPr>
        <w:footnoteRef/>
      </w:r>
      <w:r>
        <w:t xml:space="preserve"> </w:t>
      </w:r>
      <w:r w:rsidR="00CB2659" w:rsidRPr="00DD5B46">
        <w:rPr>
          <w:rFonts w:ascii="Times New Roman" w:hAnsi="Times New Roman" w:cs="Times New Roman"/>
          <w:i/>
          <w:iCs/>
        </w:rPr>
        <w:t>See</w:t>
      </w:r>
      <w:r w:rsidR="00CB2659" w:rsidRPr="000E14DB">
        <w:rPr>
          <w:rFonts w:ascii="Times New Roman" w:hAnsi="Times New Roman" w:cs="Times New Roman"/>
        </w:rPr>
        <w:t xml:space="preserve"> § 425.1</w:t>
      </w:r>
      <w:r w:rsidR="00CB2659">
        <w:rPr>
          <w:rFonts w:ascii="Times New Roman" w:hAnsi="Times New Roman" w:cs="Times New Roman"/>
        </w:rPr>
        <w:t xml:space="preserve">00(b), </w:t>
      </w:r>
      <w:r w:rsidR="00CB2659" w:rsidRPr="00DD5B46">
        <w:rPr>
          <w:rFonts w:ascii="Times New Roman" w:hAnsi="Times New Roman" w:cs="Times New Roman"/>
          <w:i/>
          <w:iCs/>
        </w:rPr>
        <w:t>supra</w:t>
      </w:r>
      <w:r w:rsidR="00CB2659">
        <w:rPr>
          <w:rFonts w:ascii="Times New Roman" w:hAnsi="Times New Roman" w:cs="Times New Roman"/>
        </w:rPr>
        <w:t xml:space="preserve"> note 18.</w:t>
      </w:r>
    </w:p>
    <w:p w14:paraId="492A9EE1" w14:textId="1DC75C94" w:rsidR="00B21F00" w:rsidRDefault="00B21F00">
      <w:pPr>
        <w:pStyle w:val="FootnoteText"/>
      </w:pPr>
    </w:p>
  </w:footnote>
  <w:footnote w:id="70">
    <w:p w14:paraId="4F8E2072" w14:textId="7F7DADB8" w:rsidR="00CB2659" w:rsidRPr="0068586F" w:rsidRDefault="00CB2659" w:rsidP="0068586F">
      <w:pPr>
        <w:spacing w:after="0"/>
        <w:rPr>
          <w:rFonts w:ascii="Times New Roman" w:hAnsi="Times New Roman" w:cs="Times New Roman"/>
          <w:sz w:val="20"/>
          <w:szCs w:val="20"/>
        </w:rPr>
      </w:pPr>
      <w:r w:rsidRPr="000D3891">
        <w:rPr>
          <w:rStyle w:val="FootnoteReference"/>
          <w:rFonts w:ascii="Times New Roman" w:hAnsi="Times New Roman" w:cs="Times New Roman"/>
          <w:sz w:val="20"/>
          <w:szCs w:val="20"/>
        </w:rPr>
        <w:footnoteRef/>
      </w:r>
      <w:r w:rsidRPr="000D3891">
        <w:rPr>
          <w:rFonts w:ascii="Times New Roman" w:hAnsi="Times New Roman" w:cs="Times New Roman"/>
          <w:sz w:val="20"/>
          <w:szCs w:val="20"/>
        </w:rPr>
        <w:t xml:space="preserve"> </w:t>
      </w:r>
      <w:r w:rsidR="0036218D" w:rsidRPr="000D3891">
        <w:rPr>
          <w:rFonts w:ascii="Times New Roman" w:hAnsi="Times New Roman" w:cs="Times New Roman"/>
          <w:sz w:val="20"/>
          <w:szCs w:val="20"/>
        </w:rPr>
        <w:t xml:space="preserve">Jesse Migneault, </w:t>
      </w:r>
      <w:r w:rsidR="00A17FC4" w:rsidRPr="000D3891">
        <w:rPr>
          <w:rFonts w:ascii="Times New Roman" w:hAnsi="Times New Roman" w:cs="Times New Roman"/>
          <w:i/>
          <w:iCs/>
          <w:sz w:val="20"/>
          <w:szCs w:val="20"/>
        </w:rPr>
        <w:t>Understanding the Basics of Accountable Care Organizations</w:t>
      </w:r>
      <w:r w:rsidR="00C01D88">
        <w:rPr>
          <w:rFonts w:ascii="Times New Roman" w:hAnsi="Times New Roman" w:cs="Times New Roman"/>
          <w:sz w:val="20"/>
          <w:szCs w:val="20"/>
        </w:rPr>
        <w:t>, Healthpayer Intelligence</w:t>
      </w:r>
      <w:r w:rsidR="00891F14">
        <w:rPr>
          <w:rFonts w:ascii="Times New Roman" w:hAnsi="Times New Roman" w:cs="Times New Roman"/>
          <w:sz w:val="20"/>
          <w:szCs w:val="20"/>
        </w:rPr>
        <w:t xml:space="preserve"> </w:t>
      </w:r>
      <w:r w:rsidR="00891F14" w:rsidRPr="000D3891">
        <w:rPr>
          <w:rFonts w:ascii="Times New Roman" w:hAnsi="Times New Roman" w:cs="Times New Roman"/>
          <w:sz w:val="20"/>
          <w:szCs w:val="20"/>
        </w:rPr>
        <w:t>(May 23, 2017)</w:t>
      </w:r>
      <w:r w:rsidR="00891F14">
        <w:rPr>
          <w:rFonts w:ascii="Times New Roman" w:hAnsi="Times New Roman" w:cs="Times New Roman"/>
          <w:sz w:val="20"/>
          <w:szCs w:val="20"/>
        </w:rPr>
        <w:t>,</w:t>
      </w:r>
      <w:r w:rsidR="00C01D88">
        <w:rPr>
          <w:rFonts w:ascii="Times New Roman" w:hAnsi="Times New Roman" w:cs="Times New Roman"/>
          <w:sz w:val="20"/>
          <w:szCs w:val="20"/>
        </w:rPr>
        <w:t xml:space="preserve"> </w:t>
      </w:r>
      <w:r w:rsidR="002F26F6" w:rsidRPr="00A62259">
        <w:rPr>
          <w:rFonts w:ascii="Times New Roman" w:hAnsi="Times New Roman" w:cs="Times New Roman"/>
          <w:sz w:val="20"/>
          <w:szCs w:val="20"/>
        </w:rPr>
        <w:t>https://healthpayerintelligence.com/news/understanding-the-basics-of-accountable-care-organizations</w:t>
      </w:r>
      <w:r w:rsidR="00503CB2">
        <w:rPr>
          <w:rFonts w:ascii="Times New Roman" w:hAnsi="Times New Roman" w:cs="Times New Roman"/>
          <w:sz w:val="20"/>
          <w:szCs w:val="20"/>
        </w:rPr>
        <w:t>,</w:t>
      </w:r>
      <w:r w:rsidR="002F26F6">
        <w:rPr>
          <w:rFonts w:ascii="Times New Roman" w:hAnsi="Times New Roman" w:cs="Times New Roman"/>
          <w:sz w:val="20"/>
          <w:szCs w:val="20"/>
        </w:rPr>
        <w:t xml:space="preserve"> (</w:t>
      </w:r>
      <w:r w:rsidR="00A62259">
        <w:rPr>
          <w:rFonts w:ascii="Times New Roman" w:hAnsi="Times New Roman" w:cs="Times New Roman"/>
          <w:sz w:val="20"/>
          <w:szCs w:val="20"/>
        </w:rPr>
        <w:t>“</w:t>
      </w:r>
      <w:r w:rsidR="003770C6">
        <w:rPr>
          <w:rFonts w:ascii="Times New Roman" w:hAnsi="Times New Roman" w:cs="Times New Roman"/>
          <w:sz w:val="20"/>
          <w:szCs w:val="20"/>
        </w:rPr>
        <w:t xml:space="preserve">The fee-for-service model </w:t>
      </w:r>
      <w:r w:rsidR="003770C6" w:rsidRPr="003770C6">
        <w:rPr>
          <w:rFonts w:ascii="Times New Roman" w:hAnsi="Times New Roman" w:cs="Times New Roman"/>
          <w:sz w:val="20"/>
          <w:szCs w:val="20"/>
        </w:rPr>
        <w:t>pays providers for each medically justifiable service they deliver, regardless of whether the service actively contributes to a better health outcome</w:t>
      </w:r>
      <w:r w:rsidR="003770C6">
        <w:rPr>
          <w:rFonts w:ascii="Times New Roman" w:hAnsi="Times New Roman" w:cs="Times New Roman"/>
          <w:sz w:val="20"/>
          <w:szCs w:val="20"/>
        </w:rPr>
        <w:t>.”).</w:t>
      </w:r>
    </w:p>
  </w:footnote>
  <w:footnote w:id="71">
    <w:p w14:paraId="4F0D438D" w14:textId="088AA536" w:rsidR="0068586F" w:rsidRPr="0036612F" w:rsidRDefault="0068586F" w:rsidP="0068586F">
      <w:pPr>
        <w:pStyle w:val="FootnoteText"/>
        <w:rPr>
          <w:rFonts w:ascii="Times New Roman" w:hAnsi="Times New Roman" w:cs="Times New Roman"/>
        </w:rPr>
      </w:pPr>
      <w:r w:rsidRPr="0036612F">
        <w:rPr>
          <w:rStyle w:val="FootnoteReference"/>
          <w:rFonts w:ascii="Times New Roman" w:hAnsi="Times New Roman" w:cs="Times New Roman"/>
        </w:rPr>
        <w:footnoteRef/>
      </w:r>
      <w:r w:rsidRPr="0036612F">
        <w:rPr>
          <w:rFonts w:ascii="Times New Roman" w:hAnsi="Times New Roman" w:cs="Times New Roman"/>
        </w:rPr>
        <w:t xml:space="preserve"> </w:t>
      </w:r>
      <w:r w:rsidR="00DD24F0" w:rsidRPr="0036612F">
        <w:rPr>
          <w:rFonts w:ascii="Times New Roman" w:hAnsi="Times New Roman" w:cs="Times New Roman"/>
        </w:rPr>
        <w:t xml:space="preserve">David Muhlestein, et al., </w:t>
      </w:r>
      <w:r w:rsidR="0036612F" w:rsidRPr="0036612F">
        <w:rPr>
          <w:rFonts w:ascii="Times New Roman" w:hAnsi="Times New Roman" w:cs="Times New Roman"/>
          <w:i/>
          <w:iCs/>
        </w:rPr>
        <w:t>Spread of ACOs And Value-Based Payment Models In 2019: Gauging the Impact of Pathways to Success</w:t>
      </w:r>
      <w:r w:rsidR="00C37180">
        <w:rPr>
          <w:rFonts w:ascii="Times New Roman" w:hAnsi="Times New Roman" w:cs="Times New Roman"/>
          <w:i/>
          <w:iCs/>
        </w:rPr>
        <w:t xml:space="preserve">, </w:t>
      </w:r>
      <w:r w:rsidR="00C37180" w:rsidRPr="00C37180">
        <w:rPr>
          <w:rFonts w:ascii="Times New Roman" w:hAnsi="Times New Roman" w:cs="Times New Roman"/>
        </w:rPr>
        <w:t>H</w:t>
      </w:r>
      <w:r w:rsidR="00C37180" w:rsidRPr="000F4B69">
        <w:rPr>
          <w:rFonts w:ascii="Times New Roman" w:hAnsi="Times New Roman" w:cs="Times New Roman"/>
          <w:smallCaps/>
        </w:rPr>
        <w:t>ealth</w:t>
      </w:r>
      <w:r w:rsidR="00C37180" w:rsidRPr="00C37180">
        <w:rPr>
          <w:rFonts w:ascii="Times New Roman" w:hAnsi="Times New Roman" w:cs="Times New Roman"/>
        </w:rPr>
        <w:t xml:space="preserve"> A</w:t>
      </w:r>
      <w:r w:rsidR="00C37180" w:rsidRPr="000F4B69">
        <w:rPr>
          <w:rFonts w:ascii="Times New Roman" w:hAnsi="Times New Roman" w:cs="Times New Roman"/>
          <w:smallCaps/>
        </w:rPr>
        <w:t>ffairs</w:t>
      </w:r>
      <w:r w:rsidR="0036612F">
        <w:rPr>
          <w:rFonts w:ascii="Times New Roman" w:hAnsi="Times New Roman" w:cs="Times New Roman"/>
          <w:i/>
          <w:iCs/>
        </w:rPr>
        <w:t xml:space="preserve"> </w:t>
      </w:r>
      <w:r w:rsidR="0036612F" w:rsidRPr="0036612F">
        <w:rPr>
          <w:rFonts w:ascii="Times New Roman" w:hAnsi="Times New Roman" w:cs="Times New Roman"/>
        </w:rPr>
        <w:t>(Oct. 21, 2019), https://www.healthaffairs.org/do/10.1377/hblog20191020.962600/full/</w:t>
      </w:r>
      <w:r w:rsidR="00C37180">
        <w:rPr>
          <w:rFonts w:ascii="Times New Roman" w:hAnsi="Times New Roman" w:cs="Times New Roman"/>
        </w:rPr>
        <w:t>.</w:t>
      </w:r>
    </w:p>
  </w:footnote>
  <w:footnote w:id="72">
    <w:p w14:paraId="2691ADD1" w14:textId="66275424" w:rsidR="0036612F" w:rsidRDefault="0036612F">
      <w:pPr>
        <w:pStyle w:val="FootnoteText"/>
      </w:pPr>
      <w:r>
        <w:rPr>
          <w:rStyle w:val="FootnoteReference"/>
        </w:rPr>
        <w:footnoteRef/>
      </w:r>
      <w:r>
        <w:t xml:space="preserve"> </w:t>
      </w:r>
      <w:r w:rsidRPr="0036612F">
        <w:rPr>
          <w:rFonts w:ascii="Times New Roman" w:hAnsi="Times New Roman" w:cs="Times New Roman"/>
          <w:i/>
          <w:iCs/>
        </w:rPr>
        <w:t>Id.</w:t>
      </w:r>
    </w:p>
  </w:footnote>
  <w:footnote w:id="73">
    <w:p w14:paraId="483D178E" w14:textId="58448CA3" w:rsidR="009D6BA2" w:rsidRDefault="009D6BA2">
      <w:pPr>
        <w:pStyle w:val="FootnoteText"/>
      </w:pPr>
      <w:r>
        <w:rPr>
          <w:rStyle w:val="FootnoteReference"/>
        </w:rPr>
        <w:footnoteRef/>
      </w:r>
      <w:r>
        <w:t xml:space="preserve"> </w:t>
      </w:r>
      <w:r w:rsidRPr="0036612F">
        <w:rPr>
          <w:rFonts w:ascii="Times New Roman" w:hAnsi="Times New Roman" w:cs="Times New Roman"/>
          <w:i/>
          <w:iCs/>
        </w:rPr>
        <w:t>Id.</w:t>
      </w:r>
    </w:p>
  </w:footnote>
  <w:footnote w:id="74">
    <w:p w14:paraId="355DE436" w14:textId="71DB86A2" w:rsidR="009D6BA2" w:rsidRDefault="009D6BA2">
      <w:pPr>
        <w:pStyle w:val="FootnoteText"/>
      </w:pPr>
      <w:r>
        <w:rPr>
          <w:rStyle w:val="FootnoteReference"/>
        </w:rPr>
        <w:footnoteRef/>
      </w:r>
      <w:r>
        <w:t xml:space="preserve"> </w:t>
      </w:r>
      <w:r w:rsidRPr="0036612F">
        <w:rPr>
          <w:rFonts w:ascii="Times New Roman" w:hAnsi="Times New Roman" w:cs="Times New Roman"/>
          <w:i/>
          <w:iCs/>
        </w:rPr>
        <w:t>Id.</w:t>
      </w:r>
    </w:p>
  </w:footnote>
  <w:footnote w:id="75">
    <w:p w14:paraId="39878E52" w14:textId="260C3F6C" w:rsidR="00954704" w:rsidRDefault="00954704">
      <w:pPr>
        <w:pStyle w:val="FootnoteText"/>
      </w:pPr>
      <w:r>
        <w:rPr>
          <w:rStyle w:val="FootnoteReference"/>
        </w:rPr>
        <w:footnoteRef/>
      </w:r>
      <w:r>
        <w:t xml:space="preserve"> </w:t>
      </w:r>
      <w:r w:rsidRPr="0036612F">
        <w:rPr>
          <w:rFonts w:ascii="Times New Roman" w:hAnsi="Times New Roman" w:cs="Times New Roman"/>
          <w:i/>
          <w:iCs/>
        </w:rPr>
        <w:t>Id.</w:t>
      </w:r>
    </w:p>
  </w:footnote>
  <w:footnote w:id="76">
    <w:p w14:paraId="736F5C19" w14:textId="2AC009C1" w:rsidR="002B7E43" w:rsidRPr="005C62C8" w:rsidRDefault="002B7E43">
      <w:pPr>
        <w:pStyle w:val="FootnoteText"/>
        <w:rPr>
          <w:rFonts w:ascii="Times New Roman" w:hAnsi="Times New Roman" w:cs="Times New Roman"/>
        </w:rPr>
      </w:pPr>
      <w:r w:rsidRPr="005C62C8">
        <w:rPr>
          <w:rStyle w:val="FootnoteReference"/>
          <w:rFonts w:ascii="Times New Roman" w:hAnsi="Times New Roman" w:cs="Times New Roman"/>
        </w:rPr>
        <w:footnoteRef/>
      </w:r>
      <w:r w:rsidRPr="005C62C8">
        <w:rPr>
          <w:rFonts w:ascii="Times New Roman" w:hAnsi="Times New Roman" w:cs="Times New Roman"/>
        </w:rPr>
        <w:t xml:space="preserve"> </w:t>
      </w:r>
      <w:r w:rsidRPr="005C62C8">
        <w:rPr>
          <w:rFonts w:ascii="Times New Roman" w:hAnsi="Times New Roman" w:cs="Times New Roman"/>
          <w:i/>
          <w:iCs/>
        </w:rPr>
        <w:t xml:space="preserve">See </w:t>
      </w:r>
      <w:r w:rsidRPr="005C62C8">
        <w:rPr>
          <w:rFonts w:ascii="Times New Roman" w:hAnsi="Times New Roman" w:cs="Times New Roman"/>
        </w:rPr>
        <w:t xml:space="preserve">Migneault, </w:t>
      </w:r>
      <w:r w:rsidRPr="005C62C8">
        <w:rPr>
          <w:rFonts w:ascii="Times New Roman" w:hAnsi="Times New Roman" w:cs="Times New Roman"/>
          <w:i/>
          <w:iCs/>
        </w:rPr>
        <w:t xml:space="preserve">supra </w:t>
      </w:r>
      <w:r w:rsidRPr="005C62C8">
        <w:rPr>
          <w:rFonts w:ascii="Times New Roman" w:hAnsi="Times New Roman" w:cs="Times New Roman"/>
        </w:rPr>
        <w:t xml:space="preserve">note </w:t>
      </w:r>
      <w:r w:rsidR="005C62C8" w:rsidRPr="005C62C8">
        <w:rPr>
          <w:rFonts w:ascii="Times New Roman" w:hAnsi="Times New Roman" w:cs="Times New Roman"/>
        </w:rPr>
        <w:t>70.</w:t>
      </w:r>
    </w:p>
  </w:footnote>
  <w:footnote w:id="77">
    <w:p w14:paraId="36098E88" w14:textId="2B8FD742" w:rsidR="00B43F7E" w:rsidRDefault="00B43F7E">
      <w:pPr>
        <w:pStyle w:val="FootnoteText"/>
      </w:pPr>
      <w:r>
        <w:rPr>
          <w:rStyle w:val="FootnoteReference"/>
        </w:rPr>
        <w:footnoteRef/>
      </w:r>
      <w:r>
        <w:t xml:space="preserve"> </w:t>
      </w:r>
      <w:r w:rsidRPr="00B43F7E">
        <w:rPr>
          <w:rFonts w:ascii="Times New Roman" w:hAnsi="Times New Roman" w:cs="Times New Roman"/>
          <w:i/>
          <w:iCs/>
        </w:rPr>
        <w:t>Id.</w:t>
      </w:r>
      <w:r w:rsidRPr="00B43F7E">
        <w:rPr>
          <w:rFonts w:ascii="Times New Roman" w:hAnsi="Times New Roman" w:cs="Times New Roman"/>
        </w:rPr>
        <w:t xml:space="preserve"> (“While upside risk ACOs are not responsible to pay back any financial losses if they exceed the agreed-upon spending rates, ACOs participating in a downside risk arrangement will be asked to pay back part of the excess spending they incur.”).</w:t>
      </w:r>
      <w:r>
        <w:t xml:space="preserve"> </w:t>
      </w:r>
    </w:p>
  </w:footnote>
  <w:footnote w:id="78">
    <w:p w14:paraId="4E010F1C" w14:textId="7D917E6D" w:rsidR="001C3EEE" w:rsidRDefault="001C3EEE">
      <w:pPr>
        <w:pStyle w:val="FootnoteText"/>
      </w:pPr>
      <w:r>
        <w:rPr>
          <w:rStyle w:val="FootnoteReference"/>
        </w:rPr>
        <w:footnoteRef/>
      </w:r>
      <w:r>
        <w:t xml:space="preserve"> </w:t>
      </w:r>
      <w:r w:rsidRPr="001C3EEE">
        <w:rPr>
          <w:rFonts w:ascii="Times New Roman" w:hAnsi="Times New Roman" w:cs="Times New Roman"/>
          <w:i/>
          <w:iCs/>
        </w:rPr>
        <w:t>Id.</w:t>
      </w:r>
    </w:p>
  </w:footnote>
  <w:footnote w:id="79">
    <w:p w14:paraId="398A6DA6" w14:textId="06E7872B" w:rsidR="005D7FAF" w:rsidRPr="00FA32AA" w:rsidRDefault="005D7FAF">
      <w:pPr>
        <w:pStyle w:val="FootnoteText"/>
        <w:rPr>
          <w:rFonts w:ascii="Times New Roman" w:hAnsi="Times New Roman" w:cs="Times New Roman"/>
        </w:rPr>
      </w:pPr>
      <w:r w:rsidRPr="00FA32AA">
        <w:rPr>
          <w:rStyle w:val="FootnoteReference"/>
          <w:rFonts w:ascii="Times New Roman" w:hAnsi="Times New Roman" w:cs="Times New Roman"/>
        </w:rPr>
        <w:footnoteRef/>
      </w:r>
      <w:r w:rsidRPr="00FA32AA">
        <w:rPr>
          <w:rFonts w:ascii="Times New Roman" w:hAnsi="Times New Roman" w:cs="Times New Roman"/>
        </w:rPr>
        <w:t xml:space="preserve"> </w:t>
      </w:r>
      <w:r w:rsidR="00FA32AA" w:rsidRPr="00FA32AA">
        <w:rPr>
          <w:rFonts w:ascii="Times New Roman" w:hAnsi="Times New Roman" w:cs="Times New Roman"/>
        </w:rPr>
        <w:t xml:space="preserve">Mary Downs, et al., </w:t>
      </w:r>
      <w:r w:rsidR="00FA32AA" w:rsidRPr="00FA32AA">
        <w:rPr>
          <w:rFonts w:ascii="Times New Roman" w:hAnsi="Times New Roman" w:cs="Times New Roman"/>
          <w:i/>
          <w:iCs/>
        </w:rPr>
        <w:t>An Actuarial Perspective on Accountable Care Organizations</w:t>
      </w:r>
      <w:r w:rsidR="00882A8D">
        <w:rPr>
          <w:rFonts w:ascii="Times New Roman" w:hAnsi="Times New Roman" w:cs="Times New Roman"/>
          <w:i/>
          <w:iCs/>
        </w:rPr>
        <w:t xml:space="preserve">, </w:t>
      </w:r>
      <w:r w:rsidR="00882A8D" w:rsidRPr="00882A8D">
        <w:rPr>
          <w:rFonts w:ascii="Times New Roman" w:hAnsi="Times New Roman" w:cs="Times New Roman"/>
        </w:rPr>
        <w:t>Academy of Actuaries</w:t>
      </w:r>
      <w:r w:rsidR="00FA32AA">
        <w:rPr>
          <w:rFonts w:ascii="Times New Roman" w:hAnsi="Times New Roman" w:cs="Times New Roman"/>
          <w:i/>
          <w:iCs/>
        </w:rPr>
        <w:t xml:space="preserve"> </w:t>
      </w:r>
      <w:r w:rsidR="00FA32AA" w:rsidRPr="00FA32AA">
        <w:rPr>
          <w:rFonts w:ascii="Times New Roman" w:hAnsi="Times New Roman" w:cs="Times New Roman"/>
        </w:rPr>
        <w:t>(Dec. 2012)</w:t>
      </w:r>
      <w:r w:rsidR="00FA32AA">
        <w:rPr>
          <w:rFonts w:ascii="Times New Roman" w:hAnsi="Times New Roman" w:cs="Times New Roman"/>
        </w:rPr>
        <w:t xml:space="preserve">, </w:t>
      </w:r>
      <w:r w:rsidR="004D5E5F" w:rsidRPr="004D5E5F">
        <w:rPr>
          <w:rFonts w:ascii="Times New Roman" w:hAnsi="Times New Roman" w:cs="Times New Roman"/>
        </w:rPr>
        <w:t>https://www.actuary.org/sites/default/files/files/ACO_IB_UPDATE_Final_121912.pdf</w:t>
      </w:r>
      <w:r w:rsidR="00882A8D">
        <w:rPr>
          <w:rFonts w:ascii="Times New Roman" w:hAnsi="Times New Roman" w:cs="Times New Roman"/>
        </w:rPr>
        <w:t>.</w:t>
      </w:r>
    </w:p>
  </w:footnote>
  <w:footnote w:id="80">
    <w:p w14:paraId="48DFB032" w14:textId="5960D0C3" w:rsidR="004D5E5F" w:rsidRDefault="004D5E5F">
      <w:pPr>
        <w:pStyle w:val="FootnoteText"/>
      </w:pPr>
      <w:r>
        <w:rPr>
          <w:rStyle w:val="FootnoteReference"/>
        </w:rPr>
        <w:footnoteRef/>
      </w:r>
      <w:r>
        <w:t xml:space="preserve"> </w:t>
      </w:r>
      <w:r w:rsidRPr="004D5E5F">
        <w:rPr>
          <w:rFonts w:ascii="Times New Roman" w:hAnsi="Times New Roman" w:cs="Times New Roman"/>
          <w:i/>
          <w:iCs/>
        </w:rPr>
        <w:t>Id.</w:t>
      </w:r>
    </w:p>
  </w:footnote>
  <w:footnote w:id="81">
    <w:p w14:paraId="0C42FF2F" w14:textId="3DC68483" w:rsidR="004D5E5F" w:rsidRDefault="004D5E5F">
      <w:pPr>
        <w:pStyle w:val="FootnoteText"/>
      </w:pPr>
      <w:r>
        <w:rPr>
          <w:rStyle w:val="FootnoteReference"/>
        </w:rPr>
        <w:footnoteRef/>
      </w:r>
      <w:r>
        <w:t xml:space="preserve"> </w:t>
      </w:r>
      <w:r w:rsidRPr="004D5E5F">
        <w:rPr>
          <w:rFonts w:ascii="Times New Roman" w:hAnsi="Times New Roman" w:cs="Times New Roman"/>
          <w:i/>
          <w:iCs/>
        </w:rPr>
        <w:t>Id.</w:t>
      </w:r>
    </w:p>
  </w:footnote>
  <w:footnote w:id="82">
    <w:p w14:paraId="70823F11" w14:textId="43125A00" w:rsidR="004D5E5F" w:rsidRDefault="004D5E5F">
      <w:pPr>
        <w:pStyle w:val="FootnoteText"/>
      </w:pPr>
      <w:r>
        <w:rPr>
          <w:rStyle w:val="FootnoteReference"/>
        </w:rPr>
        <w:footnoteRef/>
      </w:r>
      <w:r>
        <w:t xml:space="preserve"> </w:t>
      </w:r>
      <w:r w:rsidRPr="004D5E5F">
        <w:rPr>
          <w:rFonts w:ascii="Times New Roman" w:hAnsi="Times New Roman" w:cs="Times New Roman"/>
          <w:i/>
          <w:iCs/>
        </w:rPr>
        <w:t>Id.</w:t>
      </w:r>
    </w:p>
  </w:footnote>
  <w:footnote w:id="83">
    <w:p w14:paraId="114B7FB0" w14:textId="24CF9031" w:rsidR="00052D85" w:rsidRDefault="00052D85">
      <w:pPr>
        <w:pStyle w:val="FootnoteText"/>
      </w:pPr>
      <w:r>
        <w:rPr>
          <w:rStyle w:val="FootnoteReference"/>
        </w:rPr>
        <w:footnoteRef/>
      </w:r>
      <w:r>
        <w:t xml:space="preserve"> </w:t>
      </w:r>
      <w:r w:rsidRPr="004D5E5F">
        <w:rPr>
          <w:rFonts w:ascii="Times New Roman" w:hAnsi="Times New Roman" w:cs="Times New Roman"/>
          <w:i/>
          <w:iCs/>
        </w:rPr>
        <w:t>Id.</w:t>
      </w:r>
    </w:p>
  </w:footnote>
  <w:footnote w:id="84">
    <w:p w14:paraId="43C07695" w14:textId="07303104" w:rsidR="00094DAA" w:rsidRDefault="00094DAA">
      <w:pPr>
        <w:pStyle w:val="FootnoteText"/>
      </w:pPr>
      <w:r>
        <w:rPr>
          <w:rStyle w:val="FootnoteReference"/>
        </w:rPr>
        <w:footnoteRef/>
      </w:r>
      <w:r>
        <w:t xml:space="preserve"> </w:t>
      </w:r>
      <w:r w:rsidRPr="004D5E5F">
        <w:rPr>
          <w:rFonts w:ascii="Times New Roman" w:hAnsi="Times New Roman" w:cs="Times New Roman"/>
          <w:i/>
          <w:iCs/>
        </w:rPr>
        <w:t>Id.</w:t>
      </w:r>
    </w:p>
  </w:footnote>
  <w:footnote w:id="85">
    <w:p w14:paraId="7F7D790E" w14:textId="79047D1C" w:rsidR="00A32175" w:rsidRDefault="00A32175">
      <w:pPr>
        <w:pStyle w:val="FootnoteText"/>
      </w:pPr>
      <w:r>
        <w:rPr>
          <w:rStyle w:val="FootnoteReference"/>
        </w:rPr>
        <w:footnoteRef/>
      </w:r>
      <w:r>
        <w:t xml:space="preserve"> </w:t>
      </w:r>
      <w:r w:rsidRPr="004D5E5F">
        <w:rPr>
          <w:rFonts w:ascii="Times New Roman" w:hAnsi="Times New Roman" w:cs="Times New Roman"/>
          <w:i/>
          <w:iCs/>
        </w:rPr>
        <w:t>Id.</w:t>
      </w:r>
    </w:p>
  </w:footnote>
  <w:footnote w:id="86">
    <w:p w14:paraId="597164C4" w14:textId="1A0F64ED" w:rsidR="00A32175" w:rsidRDefault="00A32175">
      <w:pPr>
        <w:pStyle w:val="FootnoteText"/>
      </w:pPr>
      <w:r>
        <w:rPr>
          <w:rStyle w:val="FootnoteReference"/>
        </w:rPr>
        <w:footnoteRef/>
      </w:r>
      <w:r>
        <w:t xml:space="preserve"> </w:t>
      </w:r>
      <w:r w:rsidRPr="004D5E5F">
        <w:rPr>
          <w:rFonts w:ascii="Times New Roman" w:hAnsi="Times New Roman" w:cs="Times New Roman"/>
          <w:i/>
          <w:iCs/>
        </w:rPr>
        <w:t>Id.</w:t>
      </w:r>
    </w:p>
  </w:footnote>
  <w:footnote w:id="87">
    <w:p w14:paraId="2B811642" w14:textId="382C53E3" w:rsidR="00691405" w:rsidRPr="00CE3EAA" w:rsidRDefault="00691405">
      <w:pPr>
        <w:pStyle w:val="FootnoteText"/>
      </w:pPr>
      <w:r>
        <w:rPr>
          <w:rStyle w:val="FootnoteReference"/>
        </w:rPr>
        <w:footnoteRef/>
      </w:r>
      <w:r w:rsidRPr="00CE3EAA">
        <w:t xml:space="preserve"> </w:t>
      </w:r>
      <w:r w:rsidRPr="00CE3EAA">
        <w:rPr>
          <w:rFonts w:ascii="Times New Roman" w:hAnsi="Times New Roman" w:cs="Times New Roman"/>
          <w:i/>
          <w:iCs/>
        </w:rPr>
        <w:t>See</w:t>
      </w:r>
      <w:r w:rsidRPr="00CE3EAA">
        <w:rPr>
          <w:rFonts w:ascii="Times New Roman" w:hAnsi="Times New Roman" w:cs="Times New Roman"/>
        </w:rPr>
        <w:t xml:space="preserve"> Muhlestein, et al., </w:t>
      </w:r>
      <w:r w:rsidRPr="00CE3EAA">
        <w:rPr>
          <w:rFonts w:ascii="Times New Roman" w:hAnsi="Times New Roman" w:cs="Times New Roman"/>
          <w:i/>
          <w:iCs/>
        </w:rPr>
        <w:t>supra</w:t>
      </w:r>
      <w:r w:rsidRPr="00CE3EAA">
        <w:rPr>
          <w:rFonts w:ascii="Times New Roman" w:hAnsi="Times New Roman" w:cs="Times New Roman"/>
        </w:rPr>
        <w:t xml:space="preserve"> note 71.</w:t>
      </w:r>
    </w:p>
  </w:footnote>
  <w:footnote w:id="88">
    <w:p w14:paraId="58CEA78E" w14:textId="49BEEB29" w:rsidR="00343D90" w:rsidRDefault="00343D90">
      <w:pPr>
        <w:pStyle w:val="FootnoteText"/>
      </w:pPr>
      <w:r>
        <w:rPr>
          <w:rStyle w:val="FootnoteReference"/>
        </w:rPr>
        <w:footnoteRef/>
      </w:r>
      <w:r>
        <w:t xml:space="preserve"> </w:t>
      </w:r>
      <w:r w:rsidRPr="004D5E5F">
        <w:rPr>
          <w:rFonts w:ascii="Times New Roman" w:hAnsi="Times New Roman" w:cs="Times New Roman"/>
          <w:i/>
          <w:iCs/>
        </w:rPr>
        <w:t>Id.</w:t>
      </w:r>
    </w:p>
  </w:footnote>
  <w:footnote w:id="89">
    <w:p w14:paraId="6696C2A5" w14:textId="3E371F39" w:rsidR="00933049" w:rsidRDefault="00933049">
      <w:pPr>
        <w:pStyle w:val="FootnoteText"/>
      </w:pPr>
      <w:r>
        <w:rPr>
          <w:rStyle w:val="FootnoteReference"/>
        </w:rPr>
        <w:footnoteRef/>
      </w:r>
      <w:r>
        <w:t xml:space="preserve"> </w:t>
      </w:r>
      <w:r w:rsidRPr="004D5E5F">
        <w:rPr>
          <w:rFonts w:ascii="Times New Roman" w:hAnsi="Times New Roman" w:cs="Times New Roman"/>
          <w:i/>
          <w:iCs/>
        </w:rPr>
        <w:t>Id.</w:t>
      </w:r>
    </w:p>
  </w:footnote>
  <w:footnote w:id="90">
    <w:p w14:paraId="7A17EA38" w14:textId="78DEEDF0" w:rsidR="00933049" w:rsidRDefault="00933049">
      <w:pPr>
        <w:pStyle w:val="FootnoteText"/>
      </w:pPr>
      <w:r>
        <w:rPr>
          <w:rStyle w:val="FootnoteReference"/>
        </w:rPr>
        <w:footnoteRef/>
      </w:r>
      <w:r>
        <w:t xml:space="preserve"> </w:t>
      </w:r>
      <w:r w:rsidRPr="004D5E5F">
        <w:rPr>
          <w:rFonts w:ascii="Times New Roman" w:hAnsi="Times New Roman" w:cs="Times New Roman"/>
          <w:i/>
          <w:iCs/>
        </w:rPr>
        <w:t>Id.</w:t>
      </w:r>
    </w:p>
  </w:footnote>
  <w:footnote w:id="91">
    <w:p w14:paraId="5A27A6BD" w14:textId="5A7E5780" w:rsidR="00DC40C8" w:rsidRDefault="00DC40C8">
      <w:pPr>
        <w:pStyle w:val="FootnoteText"/>
      </w:pPr>
      <w:r>
        <w:rPr>
          <w:rStyle w:val="FootnoteReference"/>
        </w:rPr>
        <w:footnoteRef/>
      </w:r>
      <w:r>
        <w:t xml:space="preserve"> </w:t>
      </w:r>
      <w:r w:rsidRPr="004D5E5F">
        <w:rPr>
          <w:rFonts w:ascii="Times New Roman" w:hAnsi="Times New Roman" w:cs="Times New Roman"/>
          <w:i/>
          <w:iCs/>
        </w:rPr>
        <w:t>Id.</w:t>
      </w:r>
      <w:r w:rsidR="00D21CEB">
        <w:rPr>
          <w:rFonts w:ascii="Times New Roman" w:hAnsi="Times New Roman" w:cs="Times New Roman"/>
          <w:i/>
          <w:iCs/>
        </w:rPr>
        <w:t xml:space="preserve"> </w:t>
      </w:r>
      <w:r w:rsidR="00D21CEB" w:rsidRPr="001C6582">
        <w:rPr>
          <w:rFonts w:ascii="Times New Roman" w:hAnsi="Times New Roman" w:cs="Times New Roman"/>
        </w:rPr>
        <w:t>(“Smaller ACOs are those with less than 10,000 beneficiaries</w:t>
      </w:r>
      <w:r w:rsidR="001C6582" w:rsidRPr="001C6582">
        <w:rPr>
          <w:rFonts w:ascii="Times New Roman" w:hAnsi="Times New Roman" w:cs="Times New Roman"/>
        </w:rPr>
        <w:t>.”)</w:t>
      </w:r>
    </w:p>
  </w:footnote>
  <w:footnote w:id="92">
    <w:p w14:paraId="281E5F8C" w14:textId="6AE47056" w:rsidR="001C6582" w:rsidRDefault="001C6582">
      <w:pPr>
        <w:pStyle w:val="FootnoteText"/>
      </w:pPr>
      <w:r>
        <w:rPr>
          <w:rStyle w:val="FootnoteReference"/>
        </w:rPr>
        <w:footnoteRef/>
      </w:r>
      <w:r>
        <w:t xml:space="preserve"> </w:t>
      </w:r>
      <w:r w:rsidRPr="004D5E5F">
        <w:rPr>
          <w:rFonts w:ascii="Times New Roman" w:hAnsi="Times New Roman" w:cs="Times New Roman"/>
          <w:i/>
          <w:iCs/>
        </w:rPr>
        <w:t>Id.</w:t>
      </w:r>
    </w:p>
  </w:footnote>
  <w:footnote w:id="93">
    <w:p w14:paraId="55FAEB69" w14:textId="27E4783C" w:rsidR="00886F95" w:rsidRPr="00022533" w:rsidRDefault="00886F95" w:rsidP="00022533">
      <w:pPr>
        <w:spacing w:after="0"/>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Thomas Greaney</w:t>
      </w:r>
      <w:r w:rsidRPr="000D3891">
        <w:rPr>
          <w:rFonts w:ascii="Times New Roman" w:hAnsi="Times New Roman" w:cs="Times New Roman"/>
          <w:sz w:val="20"/>
          <w:szCs w:val="20"/>
        </w:rPr>
        <w:t xml:space="preserve">, </w:t>
      </w:r>
      <w:r w:rsidR="00FD4621" w:rsidRPr="00FD4621">
        <w:rPr>
          <w:rFonts w:ascii="Times New Roman" w:hAnsi="Times New Roman" w:cs="Times New Roman"/>
          <w:i/>
          <w:iCs/>
          <w:sz w:val="20"/>
          <w:szCs w:val="20"/>
        </w:rPr>
        <w:t>Competition Policy after Health Care</w:t>
      </w:r>
      <w:r w:rsidR="00FD4621">
        <w:rPr>
          <w:rFonts w:ascii="Times New Roman" w:hAnsi="Times New Roman" w:cs="Times New Roman"/>
          <w:i/>
          <w:iCs/>
          <w:sz w:val="20"/>
          <w:szCs w:val="20"/>
        </w:rPr>
        <w:t xml:space="preserve"> </w:t>
      </w:r>
      <w:r w:rsidR="00FD4621" w:rsidRPr="00FD4621">
        <w:rPr>
          <w:rFonts w:ascii="Times New Roman" w:hAnsi="Times New Roman" w:cs="Times New Roman"/>
          <w:i/>
          <w:iCs/>
          <w:sz w:val="20"/>
          <w:szCs w:val="20"/>
        </w:rPr>
        <w:t>Reform: Mending Holes in Antitrust</w:t>
      </w:r>
      <w:r w:rsidR="00FD4621">
        <w:rPr>
          <w:rFonts w:ascii="Times New Roman" w:hAnsi="Times New Roman" w:cs="Times New Roman"/>
          <w:i/>
          <w:iCs/>
          <w:sz w:val="20"/>
          <w:szCs w:val="20"/>
        </w:rPr>
        <w:t xml:space="preserve"> </w:t>
      </w:r>
      <w:r w:rsidR="00FD4621" w:rsidRPr="00FD4621">
        <w:rPr>
          <w:rFonts w:ascii="Times New Roman" w:hAnsi="Times New Roman" w:cs="Times New Roman"/>
          <w:i/>
          <w:iCs/>
          <w:sz w:val="20"/>
          <w:szCs w:val="20"/>
        </w:rPr>
        <w:t>Law’s Protective Net</w:t>
      </w:r>
      <w:r>
        <w:rPr>
          <w:rFonts w:ascii="Times New Roman" w:hAnsi="Times New Roman" w:cs="Times New Roman"/>
          <w:sz w:val="20"/>
          <w:szCs w:val="20"/>
        </w:rPr>
        <w:t xml:space="preserve">, </w:t>
      </w:r>
      <w:bookmarkStart w:id="2" w:name="_Hlk95224136"/>
      <w:r w:rsidR="0070177A">
        <w:rPr>
          <w:rFonts w:ascii="Times New Roman" w:hAnsi="Times New Roman" w:cs="Times New Roman"/>
          <w:sz w:val="20"/>
          <w:szCs w:val="20"/>
        </w:rPr>
        <w:t>40 J. H</w:t>
      </w:r>
      <w:r w:rsidR="0070177A" w:rsidRPr="0070177A">
        <w:rPr>
          <w:rFonts w:ascii="Times New Roman" w:hAnsi="Times New Roman" w:cs="Times New Roman"/>
          <w:smallCaps/>
          <w:sz w:val="20"/>
          <w:szCs w:val="20"/>
        </w:rPr>
        <w:t>ealth</w:t>
      </w:r>
      <w:r w:rsidR="0070177A">
        <w:rPr>
          <w:rFonts w:ascii="Times New Roman" w:hAnsi="Times New Roman" w:cs="Times New Roman"/>
          <w:sz w:val="20"/>
          <w:szCs w:val="20"/>
        </w:rPr>
        <w:t xml:space="preserve"> P</w:t>
      </w:r>
      <w:r w:rsidR="0070177A" w:rsidRPr="0070177A">
        <w:rPr>
          <w:rFonts w:ascii="Times New Roman" w:hAnsi="Times New Roman" w:cs="Times New Roman"/>
          <w:smallCaps/>
          <w:sz w:val="20"/>
          <w:szCs w:val="20"/>
        </w:rPr>
        <w:t>olitics</w:t>
      </w:r>
      <w:r w:rsidR="0070177A">
        <w:rPr>
          <w:rFonts w:ascii="Times New Roman" w:hAnsi="Times New Roman" w:cs="Times New Roman"/>
          <w:sz w:val="20"/>
          <w:szCs w:val="20"/>
        </w:rPr>
        <w:t xml:space="preserve"> P</w:t>
      </w:r>
      <w:r w:rsidR="0070177A" w:rsidRPr="0070177A">
        <w:rPr>
          <w:rFonts w:ascii="Times New Roman" w:hAnsi="Times New Roman" w:cs="Times New Roman"/>
          <w:smallCaps/>
          <w:sz w:val="20"/>
          <w:szCs w:val="20"/>
        </w:rPr>
        <w:t>olicy</w:t>
      </w:r>
      <w:r w:rsidR="0070177A">
        <w:rPr>
          <w:rFonts w:ascii="Times New Roman" w:hAnsi="Times New Roman" w:cs="Times New Roman"/>
          <w:sz w:val="20"/>
          <w:szCs w:val="20"/>
        </w:rPr>
        <w:t xml:space="preserve"> &amp; L. </w:t>
      </w:r>
      <w:r w:rsidR="0024401D">
        <w:rPr>
          <w:rFonts w:ascii="Times New Roman" w:hAnsi="Times New Roman" w:cs="Times New Roman"/>
          <w:sz w:val="20"/>
          <w:szCs w:val="20"/>
        </w:rPr>
        <w:t>897</w:t>
      </w:r>
      <w:r w:rsidR="0070177A">
        <w:rPr>
          <w:rFonts w:ascii="Times New Roman" w:hAnsi="Times New Roman" w:cs="Times New Roman"/>
          <w:sz w:val="20"/>
          <w:szCs w:val="20"/>
        </w:rPr>
        <w:t>, (2015)</w:t>
      </w:r>
      <w:r w:rsidR="00831401">
        <w:rPr>
          <w:rFonts w:ascii="Times New Roman" w:hAnsi="Times New Roman" w:cs="Times New Roman"/>
          <w:sz w:val="20"/>
          <w:szCs w:val="20"/>
        </w:rPr>
        <w:t>.</w:t>
      </w:r>
      <w:bookmarkEnd w:id="2"/>
      <w:r w:rsidR="0024401D">
        <w:rPr>
          <w:rFonts w:ascii="Times New Roman" w:hAnsi="Times New Roman" w:cs="Times New Roman"/>
          <w:sz w:val="20"/>
          <w:szCs w:val="20"/>
        </w:rPr>
        <w:t xml:space="preserve"> (“</w:t>
      </w:r>
      <w:r w:rsidR="00551F9C" w:rsidRPr="00551F9C">
        <w:rPr>
          <w:rFonts w:ascii="Times New Roman" w:hAnsi="Times New Roman" w:cs="Times New Roman"/>
          <w:sz w:val="20"/>
          <w:szCs w:val="20"/>
        </w:rPr>
        <w:t>unchecked consolidation over the past fifteen years</w:t>
      </w:r>
      <w:r w:rsidR="00551F9C">
        <w:rPr>
          <w:rFonts w:ascii="Times New Roman" w:hAnsi="Times New Roman" w:cs="Times New Roman"/>
          <w:sz w:val="20"/>
          <w:szCs w:val="20"/>
        </w:rPr>
        <w:t xml:space="preserve"> </w:t>
      </w:r>
      <w:r w:rsidR="00551F9C" w:rsidRPr="00551F9C">
        <w:rPr>
          <w:rFonts w:ascii="Times New Roman" w:hAnsi="Times New Roman" w:cs="Times New Roman"/>
          <w:sz w:val="20"/>
          <w:szCs w:val="20"/>
        </w:rPr>
        <w:t>resulted in markets with dominant providers whose high prices became a</w:t>
      </w:r>
      <w:r w:rsidR="00551F9C">
        <w:rPr>
          <w:rFonts w:ascii="Times New Roman" w:hAnsi="Times New Roman" w:cs="Times New Roman"/>
          <w:sz w:val="20"/>
          <w:szCs w:val="20"/>
        </w:rPr>
        <w:t xml:space="preserve"> </w:t>
      </w:r>
      <w:r w:rsidR="00551F9C" w:rsidRPr="00551F9C">
        <w:rPr>
          <w:rFonts w:ascii="Times New Roman" w:hAnsi="Times New Roman" w:cs="Times New Roman"/>
          <w:sz w:val="20"/>
          <w:szCs w:val="20"/>
        </w:rPr>
        <w:t>major driver of health cost inflation.</w:t>
      </w:r>
      <w:r w:rsidR="00551F9C">
        <w:rPr>
          <w:rFonts w:ascii="Times New Roman" w:hAnsi="Times New Roman" w:cs="Times New Roman"/>
          <w:sz w:val="20"/>
          <w:szCs w:val="20"/>
        </w:rPr>
        <w:t xml:space="preserve">”). </w:t>
      </w:r>
    </w:p>
  </w:footnote>
  <w:footnote w:id="94">
    <w:p w14:paraId="7EA8B9A4" w14:textId="43BB85B9" w:rsidR="00022533" w:rsidRPr="000156B4" w:rsidRDefault="00022533" w:rsidP="000156B4">
      <w:pPr>
        <w:spacing w:after="0"/>
        <w:rPr>
          <w:rFonts w:ascii="Times New Roman" w:hAnsi="Times New Roman" w:cs="Times New Roman"/>
          <w:i/>
          <w:iCs/>
          <w:sz w:val="20"/>
          <w:szCs w:val="20"/>
        </w:rPr>
      </w:pPr>
      <w:r>
        <w:rPr>
          <w:rStyle w:val="FootnoteReference"/>
        </w:rPr>
        <w:footnoteRef/>
      </w:r>
      <w:r>
        <w:t xml:space="preserve"> </w:t>
      </w:r>
      <w:r>
        <w:rPr>
          <w:rFonts w:ascii="Times New Roman" w:hAnsi="Times New Roman" w:cs="Times New Roman"/>
          <w:sz w:val="20"/>
          <w:szCs w:val="20"/>
        </w:rPr>
        <w:t>Robert F. Leibenluft</w:t>
      </w:r>
      <w:r w:rsidRPr="000D3891">
        <w:rPr>
          <w:rFonts w:ascii="Times New Roman" w:hAnsi="Times New Roman" w:cs="Times New Roman"/>
          <w:sz w:val="20"/>
          <w:szCs w:val="20"/>
        </w:rPr>
        <w:t xml:space="preserve">, </w:t>
      </w:r>
      <w:r w:rsidR="00483D98" w:rsidRPr="00483D98">
        <w:rPr>
          <w:rFonts w:ascii="Times New Roman" w:hAnsi="Times New Roman" w:cs="Times New Roman"/>
          <w:i/>
          <w:iCs/>
          <w:sz w:val="20"/>
          <w:szCs w:val="20"/>
        </w:rPr>
        <w:t>Antitrust and Provider Collaborations:</w:t>
      </w:r>
      <w:r w:rsidR="003F28C6">
        <w:rPr>
          <w:rFonts w:ascii="Times New Roman" w:hAnsi="Times New Roman" w:cs="Times New Roman"/>
          <w:i/>
          <w:iCs/>
          <w:sz w:val="20"/>
          <w:szCs w:val="20"/>
        </w:rPr>
        <w:t xml:space="preserve"> </w:t>
      </w:r>
      <w:r w:rsidR="00483D98" w:rsidRPr="00483D98">
        <w:rPr>
          <w:rFonts w:ascii="Times New Roman" w:hAnsi="Times New Roman" w:cs="Times New Roman"/>
          <w:i/>
          <w:iCs/>
          <w:sz w:val="20"/>
          <w:szCs w:val="20"/>
        </w:rPr>
        <w:t>Where We’ve Been and What</w:t>
      </w:r>
      <w:r w:rsidR="00483D98">
        <w:rPr>
          <w:rFonts w:ascii="Times New Roman" w:hAnsi="Times New Roman" w:cs="Times New Roman"/>
          <w:i/>
          <w:iCs/>
          <w:sz w:val="20"/>
          <w:szCs w:val="20"/>
        </w:rPr>
        <w:t xml:space="preserve"> </w:t>
      </w:r>
      <w:r w:rsidR="00483D98" w:rsidRPr="00483D98">
        <w:rPr>
          <w:rFonts w:ascii="Times New Roman" w:hAnsi="Times New Roman" w:cs="Times New Roman"/>
          <w:i/>
          <w:iCs/>
          <w:sz w:val="20"/>
          <w:szCs w:val="20"/>
        </w:rPr>
        <w:t>Should Be Done Now</w:t>
      </w:r>
      <w:r w:rsidR="00FF052F">
        <w:rPr>
          <w:rFonts w:ascii="Times New Roman" w:hAnsi="Times New Roman" w:cs="Times New Roman"/>
          <w:sz w:val="20"/>
          <w:szCs w:val="20"/>
        </w:rPr>
        <w:t xml:space="preserve">, </w:t>
      </w:r>
      <w:r w:rsidR="0070177A">
        <w:rPr>
          <w:rFonts w:ascii="Times New Roman" w:hAnsi="Times New Roman" w:cs="Times New Roman"/>
          <w:sz w:val="20"/>
          <w:szCs w:val="20"/>
        </w:rPr>
        <w:t>40 J. H</w:t>
      </w:r>
      <w:r w:rsidR="0070177A" w:rsidRPr="0070177A">
        <w:rPr>
          <w:rFonts w:ascii="Times New Roman" w:hAnsi="Times New Roman" w:cs="Times New Roman"/>
          <w:smallCaps/>
          <w:sz w:val="20"/>
          <w:szCs w:val="20"/>
        </w:rPr>
        <w:t>ealth</w:t>
      </w:r>
      <w:r w:rsidR="0070177A">
        <w:rPr>
          <w:rFonts w:ascii="Times New Roman" w:hAnsi="Times New Roman" w:cs="Times New Roman"/>
          <w:sz w:val="20"/>
          <w:szCs w:val="20"/>
        </w:rPr>
        <w:t xml:space="preserve"> P</w:t>
      </w:r>
      <w:r w:rsidR="0070177A" w:rsidRPr="0070177A">
        <w:rPr>
          <w:rFonts w:ascii="Times New Roman" w:hAnsi="Times New Roman" w:cs="Times New Roman"/>
          <w:smallCaps/>
          <w:sz w:val="20"/>
          <w:szCs w:val="20"/>
        </w:rPr>
        <w:t>olitics</w:t>
      </w:r>
      <w:r w:rsidR="0070177A">
        <w:rPr>
          <w:rFonts w:ascii="Times New Roman" w:hAnsi="Times New Roman" w:cs="Times New Roman"/>
          <w:sz w:val="20"/>
          <w:szCs w:val="20"/>
        </w:rPr>
        <w:t xml:space="preserve"> P</w:t>
      </w:r>
      <w:r w:rsidR="0070177A" w:rsidRPr="0070177A">
        <w:rPr>
          <w:rFonts w:ascii="Times New Roman" w:hAnsi="Times New Roman" w:cs="Times New Roman"/>
          <w:smallCaps/>
          <w:sz w:val="20"/>
          <w:szCs w:val="20"/>
        </w:rPr>
        <w:t>olicy</w:t>
      </w:r>
      <w:r w:rsidR="0070177A">
        <w:rPr>
          <w:rFonts w:ascii="Times New Roman" w:hAnsi="Times New Roman" w:cs="Times New Roman"/>
          <w:sz w:val="20"/>
          <w:szCs w:val="20"/>
        </w:rPr>
        <w:t xml:space="preserve"> &amp; L. 897, (2015).</w:t>
      </w:r>
      <w:r w:rsidR="003568ED">
        <w:rPr>
          <w:rFonts w:ascii="Times New Roman" w:hAnsi="Times New Roman" w:cs="Times New Roman"/>
          <w:sz w:val="20"/>
          <w:szCs w:val="20"/>
        </w:rPr>
        <w:t xml:space="preserve"> </w:t>
      </w:r>
    </w:p>
  </w:footnote>
  <w:footnote w:id="95">
    <w:p w14:paraId="492B1EBB" w14:textId="01F579E0" w:rsidR="000156B4" w:rsidRDefault="000156B4">
      <w:pPr>
        <w:pStyle w:val="FootnoteText"/>
      </w:pPr>
      <w:r>
        <w:rPr>
          <w:rStyle w:val="FootnoteReference"/>
        </w:rPr>
        <w:footnoteRef/>
      </w:r>
      <w:r>
        <w:t xml:space="preserve"> </w:t>
      </w:r>
      <w:r w:rsidR="001C6231">
        <w:rPr>
          <w:rFonts w:ascii="Times New Roman" w:hAnsi="Times New Roman" w:cs="Times New Roman"/>
        </w:rPr>
        <w:t xml:space="preserve">Sherman </w:t>
      </w:r>
      <w:r w:rsidRPr="000156B4">
        <w:rPr>
          <w:rFonts w:ascii="Times New Roman" w:hAnsi="Times New Roman" w:cs="Times New Roman"/>
        </w:rPr>
        <w:t xml:space="preserve">Act, </w:t>
      </w:r>
      <w:r w:rsidR="001C6231" w:rsidRPr="001C6231">
        <w:rPr>
          <w:rFonts w:ascii="Times New Roman" w:hAnsi="Times New Roman" w:cs="Times New Roman"/>
        </w:rPr>
        <w:t>15 U.S.</w:t>
      </w:r>
      <w:r w:rsidR="001C6231">
        <w:rPr>
          <w:rFonts w:ascii="Times New Roman" w:hAnsi="Times New Roman" w:cs="Times New Roman"/>
        </w:rPr>
        <w:t>C.</w:t>
      </w:r>
      <w:r w:rsidR="001C6231" w:rsidRPr="001C6231">
        <w:rPr>
          <w:rFonts w:ascii="Times New Roman" w:hAnsi="Times New Roman" w:cs="Times New Roman"/>
        </w:rPr>
        <w:t xml:space="preserve"> § 1</w:t>
      </w:r>
      <w:r w:rsidRPr="000156B4">
        <w:rPr>
          <w:rFonts w:ascii="Times New Roman" w:hAnsi="Times New Roman" w:cs="Times New Roman"/>
        </w:rPr>
        <w:t xml:space="preserve"> (</w:t>
      </w:r>
      <w:r w:rsidR="00EE3E9F">
        <w:rPr>
          <w:rFonts w:ascii="Times New Roman" w:hAnsi="Times New Roman" w:cs="Times New Roman"/>
        </w:rPr>
        <w:t>1</w:t>
      </w:r>
      <w:r w:rsidR="00C67117">
        <w:rPr>
          <w:rFonts w:ascii="Times New Roman" w:hAnsi="Times New Roman" w:cs="Times New Roman"/>
        </w:rPr>
        <w:t>89</w:t>
      </w:r>
      <w:r w:rsidR="00EE3E9F">
        <w:rPr>
          <w:rFonts w:ascii="Times New Roman" w:hAnsi="Times New Roman" w:cs="Times New Roman"/>
        </w:rPr>
        <w:t>0</w:t>
      </w:r>
      <w:r w:rsidRPr="000156B4">
        <w:rPr>
          <w:rFonts w:ascii="Times New Roman" w:hAnsi="Times New Roman" w:cs="Times New Roman"/>
        </w:rPr>
        <w:t>)</w:t>
      </w:r>
    </w:p>
  </w:footnote>
  <w:footnote w:id="96">
    <w:p w14:paraId="1DB9F52B" w14:textId="458F54B6" w:rsidR="00A9406C" w:rsidRPr="0028704E" w:rsidRDefault="00A9406C">
      <w:pPr>
        <w:pStyle w:val="FootnoteText"/>
      </w:pPr>
      <w:r>
        <w:rPr>
          <w:rStyle w:val="FootnoteReference"/>
        </w:rPr>
        <w:footnoteRef/>
      </w:r>
      <w:r>
        <w:t xml:space="preserve"> </w:t>
      </w:r>
      <w:r w:rsidR="0028704E" w:rsidRPr="0028704E">
        <w:rPr>
          <w:i/>
          <w:iCs/>
        </w:rPr>
        <w:t>See</w:t>
      </w:r>
      <w:r w:rsidR="0028704E">
        <w:t xml:space="preserve"> </w:t>
      </w:r>
      <w:r w:rsidR="0028704E">
        <w:rPr>
          <w:rFonts w:ascii="Times New Roman" w:hAnsi="Times New Roman" w:cs="Times New Roman"/>
        </w:rPr>
        <w:t xml:space="preserve">Leibenluft, </w:t>
      </w:r>
      <w:r w:rsidR="0028704E" w:rsidRPr="0028704E">
        <w:rPr>
          <w:rFonts w:ascii="Times New Roman" w:hAnsi="Times New Roman" w:cs="Times New Roman"/>
          <w:i/>
          <w:iCs/>
        </w:rPr>
        <w:t>supra</w:t>
      </w:r>
      <w:r w:rsidR="0028704E">
        <w:rPr>
          <w:rFonts w:ascii="Times New Roman" w:hAnsi="Times New Roman" w:cs="Times New Roman"/>
        </w:rPr>
        <w:t xml:space="preserve"> note 94</w:t>
      </w:r>
      <w:r w:rsidR="00A64A64">
        <w:rPr>
          <w:rFonts w:ascii="Times New Roman" w:hAnsi="Times New Roman" w:cs="Times New Roman"/>
        </w:rPr>
        <w:t>,</w:t>
      </w:r>
      <w:r w:rsidR="00124499">
        <w:rPr>
          <w:rFonts w:ascii="Times New Roman" w:hAnsi="Times New Roman" w:cs="Times New Roman"/>
        </w:rPr>
        <w:t xml:space="preserve"> at 847</w:t>
      </w:r>
      <w:r w:rsidR="0028704E">
        <w:rPr>
          <w:rFonts w:ascii="Times New Roman" w:hAnsi="Times New Roman" w:cs="Times New Roman"/>
        </w:rPr>
        <w:t xml:space="preserve">. </w:t>
      </w:r>
    </w:p>
  </w:footnote>
  <w:footnote w:id="97">
    <w:p w14:paraId="22923BA7" w14:textId="003D5CC1" w:rsidR="00124499" w:rsidRPr="00124499" w:rsidRDefault="00124499">
      <w:pPr>
        <w:pStyle w:val="FootnoteText"/>
      </w:pPr>
      <w:r>
        <w:rPr>
          <w:rStyle w:val="FootnoteReference"/>
        </w:rPr>
        <w:footnoteRef/>
      </w:r>
      <w:r>
        <w:t xml:space="preserve"> </w:t>
      </w:r>
      <w:r w:rsidRPr="00124499">
        <w:rPr>
          <w:rFonts w:ascii="Times New Roman" w:hAnsi="Times New Roman" w:cs="Times New Roman"/>
          <w:i/>
          <w:iCs/>
        </w:rPr>
        <w:t>Id.</w:t>
      </w:r>
      <w:r>
        <w:rPr>
          <w:rFonts w:ascii="Times New Roman" w:hAnsi="Times New Roman" w:cs="Times New Roman"/>
          <w:i/>
          <w:iCs/>
        </w:rPr>
        <w:t xml:space="preserve"> </w:t>
      </w:r>
    </w:p>
  </w:footnote>
  <w:footnote w:id="98">
    <w:p w14:paraId="6DBE9581" w14:textId="079D2A3C" w:rsidR="00BB3C38" w:rsidRDefault="00BB3C38">
      <w:pPr>
        <w:pStyle w:val="FootnoteText"/>
      </w:pPr>
      <w:r>
        <w:rPr>
          <w:rStyle w:val="FootnoteReference"/>
        </w:rPr>
        <w:footnoteRef/>
      </w:r>
      <w:r>
        <w:t xml:space="preserve"> </w:t>
      </w:r>
      <w:r w:rsidRPr="00124499">
        <w:rPr>
          <w:rFonts w:ascii="Times New Roman" w:hAnsi="Times New Roman" w:cs="Times New Roman"/>
          <w:i/>
          <w:iCs/>
        </w:rPr>
        <w:t>Id.</w:t>
      </w:r>
    </w:p>
  </w:footnote>
  <w:footnote w:id="99">
    <w:p w14:paraId="3385A32A" w14:textId="4D66D9E9" w:rsidR="00850036" w:rsidRPr="00CE6DE2" w:rsidRDefault="00850036">
      <w:pPr>
        <w:pStyle w:val="FootnoteText"/>
      </w:pPr>
      <w:r>
        <w:rPr>
          <w:rStyle w:val="FootnoteReference"/>
        </w:rPr>
        <w:footnoteRef/>
      </w:r>
      <w:r>
        <w:t xml:space="preserve"> </w:t>
      </w:r>
      <w:r w:rsidRPr="00124499">
        <w:rPr>
          <w:rFonts w:ascii="Times New Roman" w:hAnsi="Times New Roman" w:cs="Times New Roman"/>
          <w:i/>
          <w:iCs/>
        </w:rPr>
        <w:t>Id.</w:t>
      </w:r>
      <w:r w:rsidR="00CE6DE2">
        <w:rPr>
          <w:rFonts w:ascii="Times New Roman" w:hAnsi="Times New Roman" w:cs="Times New Roman"/>
          <w:i/>
          <w:iCs/>
        </w:rPr>
        <w:t xml:space="preserve"> </w:t>
      </w:r>
      <w:r w:rsidR="00CE6DE2">
        <w:rPr>
          <w:rFonts w:ascii="Times New Roman" w:hAnsi="Times New Roman" w:cs="Times New Roman"/>
        </w:rPr>
        <w:t>(</w:t>
      </w:r>
      <w:r w:rsidR="00CE6DE2" w:rsidRPr="00CE6DE2">
        <w:rPr>
          <w:rFonts w:ascii="Times New Roman" w:hAnsi="Times New Roman" w:cs="Times New Roman"/>
        </w:rPr>
        <w:t>“An agreement that involves prices or market allocations will be subject to the rule of reason … if the agreement is related to and reasonably necessary to a collaboration among the parties that has the potential to achieve cost savings or quality improvements.”</w:t>
      </w:r>
      <w:r w:rsidR="00CE6DE2">
        <w:rPr>
          <w:rFonts w:ascii="Times New Roman" w:hAnsi="Times New Roman" w:cs="Times New Roman"/>
        </w:rPr>
        <w:t>)</w:t>
      </w:r>
    </w:p>
  </w:footnote>
  <w:footnote w:id="100">
    <w:p w14:paraId="273B9E08" w14:textId="6C70E96D" w:rsidR="00EF5304" w:rsidRDefault="00EF5304">
      <w:pPr>
        <w:pStyle w:val="FootnoteText"/>
      </w:pPr>
      <w:r>
        <w:rPr>
          <w:rStyle w:val="FootnoteReference"/>
        </w:rPr>
        <w:footnoteRef/>
      </w:r>
      <w:r>
        <w:t xml:space="preserve"> </w:t>
      </w:r>
      <w:r>
        <w:rPr>
          <w:rFonts w:ascii="Times New Roman" w:hAnsi="Times New Roman" w:cs="Times New Roman"/>
        </w:rPr>
        <w:t xml:space="preserve">Sherman </w:t>
      </w:r>
      <w:r w:rsidR="00C67117">
        <w:rPr>
          <w:rFonts w:ascii="Times New Roman" w:hAnsi="Times New Roman" w:cs="Times New Roman"/>
        </w:rPr>
        <w:t xml:space="preserve">Antitrust </w:t>
      </w:r>
      <w:r w:rsidRPr="000156B4">
        <w:rPr>
          <w:rFonts w:ascii="Times New Roman" w:hAnsi="Times New Roman" w:cs="Times New Roman"/>
        </w:rPr>
        <w:t xml:space="preserve">Act, </w:t>
      </w:r>
      <w:r w:rsidRPr="001C6231">
        <w:rPr>
          <w:rFonts w:ascii="Times New Roman" w:hAnsi="Times New Roman" w:cs="Times New Roman"/>
        </w:rPr>
        <w:t>15 U.S.</w:t>
      </w:r>
      <w:r>
        <w:rPr>
          <w:rFonts w:ascii="Times New Roman" w:hAnsi="Times New Roman" w:cs="Times New Roman"/>
        </w:rPr>
        <w:t>C.</w:t>
      </w:r>
      <w:r w:rsidRPr="001C6231">
        <w:rPr>
          <w:rFonts w:ascii="Times New Roman" w:hAnsi="Times New Roman" w:cs="Times New Roman"/>
        </w:rPr>
        <w:t xml:space="preserve"> § </w:t>
      </w:r>
      <w:r>
        <w:rPr>
          <w:rFonts w:ascii="Times New Roman" w:hAnsi="Times New Roman" w:cs="Times New Roman"/>
        </w:rPr>
        <w:t>2</w:t>
      </w:r>
      <w:r w:rsidRPr="000156B4">
        <w:rPr>
          <w:rFonts w:ascii="Times New Roman" w:hAnsi="Times New Roman" w:cs="Times New Roman"/>
        </w:rPr>
        <w:t xml:space="preserve"> (</w:t>
      </w:r>
      <w:r>
        <w:rPr>
          <w:rFonts w:ascii="Times New Roman" w:hAnsi="Times New Roman" w:cs="Times New Roman"/>
        </w:rPr>
        <w:t>1</w:t>
      </w:r>
      <w:r w:rsidR="00C67117">
        <w:rPr>
          <w:rFonts w:ascii="Times New Roman" w:hAnsi="Times New Roman" w:cs="Times New Roman"/>
        </w:rPr>
        <w:t>89</w:t>
      </w:r>
      <w:r>
        <w:rPr>
          <w:rFonts w:ascii="Times New Roman" w:hAnsi="Times New Roman" w:cs="Times New Roman"/>
        </w:rPr>
        <w:t>0</w:t>
      </w:r>
      <w:r w:rsidRPr="000156B4">
        <w:rPr>
          <w:rFonts w:ascii="Times New Roman" w:hAnsi="Times New Roman" w:cs="Times New Roman"/>
        </w:rPr>
        <w:t>)</w:t>
      </w:r>
    </w:p>
  </w:footnote>
  <w:footnote w:id="101">
    <w:p w14:paraId="342AB289" w14:textId="2A98DE27" w:rsidR="00EF5304" w:rsidRDefault="00EF5304">
      <w:pPr>
        <w:pStyle w:val="FootnoteText"/>
      </w:pPr>
      <w:r>
        <w:rPr>
          <w:rStyle w:val="FootnoteReference"/>
        </w:rPr>
        <w:footnoteRef/>
      </w:r>
      <w:r>
        <w:t xml:space="preserve"> </w:t>
      </w:r>
      <w:r w:rsidRPr="0028704E">
        <w:rPr>
          <w:i/>
          <w:iCs/>
        </w:rPr>
        <w:t>See</w:t>
      </w:r>
      <w:r>
        <w:t xml:space="preserve"> </w:t>
      </w:r>
      <w:r>
        <w:rPr>
          <w:rFonts w:ascii="Times New Roman" w:hAnsi="Times New Roman" w:cs="Times New Roman"/>
        </w:rPr>
        <w:t xml:space="preserve">Leibenluft, </w:t>
      </w:r>
      <w:r w:rsidRPr="0028704E">
        <w:rPr>
          <w:rFonts w:ascii="Times New Roman" w:hAnsi="Times New Roman" w:cs="Times New Roman"/>
          <w:i/>
          <w:iCs/>
        </w:rPr>
        <w:t>supra</w:t>
      </w:r>
      <w:r>
        <w:rPr>
          <w:rFonts w:ascii="Times New Roman" w:hAnsi="Times New Roman" w:cs="Times New Roman"/>
        </w:rPr>
        <w:t xml:space="preserve"> note 94</w:t>
      </w:r>
      <w:r w:rsidR="00A64A64">
        <w:rPr>
          <w:rFonts w:ascii="Times New Roman" w:hAnsi="Times New Roman" w:cs="Times New Roman"/>
        </w:rPr>
        <w:t>,</w:t>
      </w:r>
      <w:r>
        <w:rPr>
          <w:rFonts w:ascii="Times New Roman" w:hAnsi="Times New Roman" w:cs="Times New Roman"/>
        </w:rPr>
        <w:t xml:space="preserve"> at 84</w:t>
      </w:r>
      <w:r w:rsidR="00A64A64">
        <w:rPr>
          <w:rFonts w:ascii="Times New Roman" w:hAnsi="Times New Roman" w:cs="Times New Roman"/>
        </w:rPr>
        <w:t>8</w:t>
      </w:r>
      <w:r>
        <w:rPr>
          <w:rFonts w:ascii="Times New Roman" w:hAnsi="Times New Roman" w:cs="Times New Roman"/>
        </w:rPr>
        <w:t>.</w:t>
      </w:r>
    </w:p>
  </w:footnote>
  <w:footnote w:id="102">
    <w:p w14:paraId="7A04EAA4" w14:textId="28E55B37" w:rsidR="00384475" w:rsidRDefault="00384475">
      <w:pPr>
        <w:pStyle w:val="FootnoteText"/>
      </w:pPr>
      <w:r>
        <w:rPr>
          <w:rStyle w:val="FootnoteReference"/>
        </w:rPr>
        <w:footnoteRef/>
      </w:r>
      <w:r>
        <w:t xml:space="preserve"> </w:t>
      </w:r>
      <w:r w:rsidRPr="00384475">
        <w:rPr>
          <w:rFonts w:ascii="Times New Roman" w:hAnsi="Times New Roman" w:cs="Times New Roman"/>
          <w:i/>
          <w:iCs/>
        </w:rPr>
        <w:t>Id.</w:t>
      </w:r>
      <w:r>
        <w:t xml:space="preserve"> </w:t>
      </w:r>
    </w:p>
  </w:footnote>
  <w:footnote w:id="103">
    <w:p w14:paraId="4FA33193" w14:textId="63850C65" w:rsidR="00561879" w:rsidRDefault="00561879">
      <w:pPr>
        <w:pStyle w:val="FootnoteText"/>
      </w:pPr>
      <w:r>
        <w:rPr>
          <w:rStyle w:val="FootnoteReference"/>
        </w:rPr>
        <w:footnoteRef/>
      </w:r>
      <w:r>
        <w:t xml:space="preserve"> </w:t>
      </w:r>
      <w:r w:rsidRPr="00384475">
        <w:rPr>
          <w:rFonts w:ascii="Times New Roman" w:hAnsi="Times New Roman" w:cs="Times New Roman"/>
          <w:i/>
          <w:iCs/>
        </w:rPr>
        <w:t>Id.</w:t>
      </w:r>
    </w:p>
  </w:footnote>
  <w:footnote w:id="104">
    <w:p w14:paraId="3DED2B9A" w14:textId="4ED1C3E6" w:rsidR="00477392" w:rsidRDefault="00477392">
      <w:pPr>
        <w:pStyle w:val="FootnoteText"/>
      </w:pPr>
      <w:r>
        <w:rPr>
          <w:rStyle w:val="FootnoteReference"/>
        </w:rPr>
        <w:footnoteRef/>
      </w:r>
      <w:r>
        <w:t xml:space="preserve"> </w:t>
      </w:r>
      <w:r w:rsidRPr="00384475">
        <w:rPr>
          <w:rFonts w:ascii="Times New Roman" w:hAnsi="Times New Roman" w:cs="Times New Roman"/>
          <w:i/>
          <w:iCs/>
        </w:rPr>
        <w:t>Id.</w:t>
      </w:r>
    </w:p>
  </w:footnote>
  <w:footnote w:id="105">
    <w:p w14:paraId="44AFBEC0" w14:textId="6AFE5368" w:rsidR="00C67117" w:rsidRDefault="00C67117">
      <w:pPr>
        <w:pStyle w:val="FootnoteText"/>
      </w:pPr>
      <w:r>
        <w:rPr>
          <w:rStyle w:val="FootnoteReference"/>
        </w:rPr>
        <w:footnoteRef/>
      </w:r>
      <w:r>
        <w:t xml:space="preserve"> </w:t>
      </w:r>
      <w:r>
        <w:rPr>
          <w:rFonts w:ascii="Times New Roman" w:hAnsi="Times New Roman" w:cs="Times New Roman"/>
        </w:rPr>
        <w:t xml:space="preserve">Clayton Antitrust </w:t>
      </w:r>
      <w:r w:rsidRPr="000156B4">
        <w:rPr>
          <w:rFonts w:ascii="Times New Roman" w:hAnsi="Times New Roman" w:cs="Times New Roman"/>
        </w:rPr>
        <w:t xml:space="preserve">Act, </w:t>
      </w:r>
      <w:r w:rsidRPr="001C6231">
        <w:rPr>
          <w:rFonts w:ascii="Times New Roman" w:hAnsi="Times New Roman" w:cs="Times New Roman"/>
        </w:rPr>
        <w:t>15 U.S.</w:t>
      </w:r>
      <w:r>
        <w:rPr>
          <w:rFonts w:ascii="Times New Roman" w:hAnsi="Times New Roman" w:cs="Times New Roman"/>
        </w:rPr>
        <w:t>C.</w:t>
      </w:r>
      <w:r w:rsidRPr="001C6231">
        <w:rPr>
          <w:rFonts w:ascii="Times New Roman" w:hAnsi="Times New Roman" w:cs="Times New Roman"/>
        </w:rPr>
        <w:t xml:space="preserve"> § </w:t>
      </w:r>
      <w:r w:rsidR="00DA066B">
        <w:rPr>
          <w:rFonts w:ascii="Times New Roman" w:hAnsi="Times New Roman" w:cs="Times New Roman"/>
        </w:rPr>
        <w:t>7</w:t>
      </w:r>
      <w:r w:rsidRPr="000156B4">
        <w:rPr>
          <w:rFonts w:ascii="Times New Roman" w:hAnsi="Times New Roman" w:cs="Times New Roman"/>
        </w:rPr>
        <w:t xml:space="preserve"> (</w:t>
      </w:r>
      <w:r>
        <w:rPr>
          <w:rFonts w:ascii="Times New Roman" w:hAnsi="Times New Roman" w:cs="Times New Roman"/>
        </w:rPr>
        <w:t>1</w:t>
      </w:r>
      <w:r w:rsidR="00DA066B">
        <w:rPr>
          <w:rFonts w:ascii="Times New Roman" w:hAnsi="Times New Roman" w:cs="Times New Roman"/>
        </w:rPr>
        <w:t>914</w:t>
      </w:r>
      <w:r w:rsidRPr="000156B4">
        <w:rPr>
          <w:rFonts w:ascii="Times New Roman" w:hAnsi="Times New Roman" w:cs="Times New Roman"/>
        </w:rPr>
        <w:t>)</w:t>
      </w:r>
    </w:p>
  </w:footnote>
  <w:footnote w:id="106">
    <w:p w14:paraId="4A22BBDB" w14:textId="7F47C10F" w:rsidR="0086337C" w:rsidRDefault="0086337C">
      <w:pPr>
        <w:pStyle w:val="FootnoteText"/>
      </w:pPr>
      <w:r>
        <w:rPr>
          <w:rStyle w:val="FootnoteReference"/>
        </w:rPr>
        <w:footnoteRef/>
      </w:r>
      <w:r>
        <w:t xml:space="preserve"> </w:t>
      </w:r>
      <w:r w:rsidRPr="0028704E">
        <w:rPr>
          <w:i/>
          <w:iCs/>
        </w:rPr>
        <w:t>See</w:t>
      </w:r>
      <w:r>
        <w:t xml:space="preserve"> </w:t>
      </w:r>
      <w:r>
        <w:rPr>
          <w:rFonts w:ascii="Times New Roman" w:hAnsi="Times New Roman" w:cs="Times New Roman"/>
        </w:rPr>
        <w:t xml:space="preserve">Leibenluft, </w:t>
      </w:r>
      <w:r w:rsidRPr="0028704E">
        <w:rPr>
          <w:rFonts w:ascii="Times New Roman" w:hAnsi="Times New Roman" w:cs="Times New Roman"/>
          <w:i/>
          <w:iCs/>
        </w:rPr>
        <w:t>supra</w:t>
      </w:r>
      <w:r>
        <w:rPr>
          <w:rFonts w:ascii="Times New Roman" w:hAnsi="Times New Roman" w:cs="Times New Roman"/>
        </w:rPr>
        <w:t xml:space="preserve"> note 94, at 848.</w:t>
      </w:r>
    </w:p>
  </w:footnote>
  <w:footnote w:id="107">
    <w:p w14:paraId="4BA25625" w14:textId="0284BC4E" w:rsidR="005F724F" w:rsidRDefault="005F724F">
      <w:pPr>
        <w:pStyle w:val="FootnoteText"/>
      </w:pPr>
      <w:r>
        <w:rPr>
          <w:rStyle w:val="FootnoteReference"/>
        </w:rPr>
        <w:footnoteRef/>
      </w:r>
      <w:r>
        <w:t xml:space="preserve"> </w:t>
      </w:r>
      <w:r w:rsidRPr="005F724F">
        <w:rPr>
          <w:rFonts w:ascii="Times New Roman" w:hAnsi="Times New Roman" w:cs="Times New Roman"/>
          <w:i/>
          <w:iCs/>
        </w:rPr>
        <w:t>Id.</w:t>
      </w:r>
      <w:r>
        <w:rPr>
          <w:i/>
          <w:iCs/>
        </w:rPr>
        <w:t xml:space="preserve"> </w:t>
      </w:r>
      <w:r>
        <w:rPr>
          <w:rFonts w:ascii="Times New Roman" w:hAnsi="Times New Roman" w:cs="Times New Roman"/>
        </w:rPr>
        <w:t>at 849.</w:t>
      </w:r>
    </w:p>
  </w:footnote>
  <w:footnote w:id="108">
    <w:p w14:paraId="09DD7037" w14:textId="5C84164B" w:rsidR="00942A81" w:rsidRDefault="00942A81">
      <w:pPr>
        <w:pStyle w:val="FootnoteText"/>
      </w:pPr>
      <w:r>
        <w:rPr>
          <w:rStyle w:val="FootnoteReference"/>
        </w:rPr>
        <w:footnoteRef/>
      </w:r>
      <w:r>
        <w:t xml:space="preserve"> </w:t>
      </w:r>
      <w:r w:rsidRPr="005F724F">
        <w:rPr>
          <w:rFonts w:ascii="Times New Roman" w:hAnsi="Times New Roman" w:cs="Times New Roman"/>
          <w:i/>
          <w:iCs/>
        </w:rPr>
        <w:t>Id.</w:t>
      </w:r>
    </w:p>
  </w:footnote>
  <w:footnote w:id="109">
    <w:p w14:paraId="59BBD04D" w14:textId="69875CA0" w:rsidR="000D73FE" w:rsidRDefault="000D73FE">
      <w:pPr>
        <w:pStyle w:val="FootnoteText"/>
      </w:pPr>
      <w:r>
        <w:rPr>
          <w:rStyle w:val="FootnoteReference"/>
        </w:rPr>
        <w:footnoteRef/>
      </w:r>
      <w:r>
        <w:t xml:space="preserve"> </w:t>
      </w:r>
      <w:r w:rsidRPr="005F724F">
        <w:rPr>
          <w:rFonts w:ascii="Times New Roman" w:hAnsi="Times New Roman" w:cs="Times New Roman"/>
          <w:i/>
          <w:iCs/>
        </w:rPr>
        <w:t>Id.</w:t>
      </w:r>
    </w:p>
  </w:footnote>
  <w:footnote w:id="110">
    <w:p w14:paraId="654CA1CD" w14:textId="5F824466" w:rsidR="00765D5F" w:rsidRPr="000B3446" w:rsidRDefault="00765D5F">
      <w:pPr>
        <w:pStyle w:val="FootnoteText"/>
      </w:pPr>
      <w:r>
        <w:rPr>
          <w:rStyle w:val="FootnoteReference"/>
        </w:rPr>
        <w:footnoteRef/>
      </w:r>
      <w:r>
        <w:t xml:space="preserve"> </w:t>
      </w:r>
      <w:r w:rsidR="000B3446" w:rsidRPr="000B3446">
        <w:rPr>
          <w:rFonts w:ascii="Times New Roman" w:hAnsi="Times New Roman" w:cs="Times New Roman"/>
          <w:i/>
          <w:iCs/>
        </w:rPr>
        <w:t>Arizona v. Maricopa County Medical Society</w:t>
      </w:r>
      <w:r w:rsidR="000B3446">
        <w:rPr>
          <w:rFonts w:ascii="Times New Roman" w:hAnsi="Times New Roman" w:cs="Times New Roman"/>
        </w:rPr>
        <w:t xml:space="preserve">, </w:t>
      </w:r>
      <w:r w:rsidR="00561C81" w:rsidRPr="00561C81">
        <w:rPr>
          <w:rFonts w:ascii="Times New Roman" w:hAnsi="Times New Roman" w:cs="Times New Roman"/>
        </w:rPr>
        <w:t>457 U.S. 322</w:t>
      </w:r>
      <w:r w:rsidR="00561C81">
        <w:rPr>
          <w:rFonts w:ascii="Times New Roman" w:hAnsi="Times New Roman" w:cs="Times New Roman"/>
        </w:rPr>
        <w:t xml:space="preserve">, </w:t>
      </w:r>
      <w:r w:rsidR="00C83138">
        <w:rPr>
          <w:rFonts w:ascii="Times New Roman" w:hAnsi="Times New Roman" w:cs="Times New Roman"/>
        </w:rPr>
        <w:t>3</w:t>
      </w:r>
      <w:r w:rsidR="00BE79B3">
        <w:rPr>
          <w:rFonts w:ascii="Times New Roman" w:hAnsi="Times New Roman" w:cs="Times New Roman"/>
        </w:rPr>
        <w:t>3</w:t>
      </w:r>
      <w:r w:rsidR="00C83138">
        <w:rPr>
          <w:rFonts w:ascii="Times New Roman" w:hAnsi="Times New Roman" w:cs="Times New Roman"/>
        </w:rPr>
        <w:t>9</w:t>
      </w:r>
      <w:r w:rsidR="00191AE0">
        <w:rPr>
          <w:rFonts w:ascii="Times New Roman" w:hAnsi="Times New Roman" w:cs="Times New Roman"/>
        </w:rPr>
        <w:t xml:space="preserve"> (1982)</w:t>
      </w:r>
      <w:r w:rsidR="008215AE">
        <w:rPr>
          <w:rFonts w:ascii="Times New Roman" w:hAnsi="Times New Roman" w:cs="Times New Roman"/>
        </w:rPr>
        <w:t>.</w:t>
      </w:r>
    </w:p>
  </w:footnote>
  <w:footnote w:id="111">
    <w:p w14:paraId="55E3113C" w14:textId="4F95E722" w:rsidR="00BE79B3" w:rsidRDefault="00BE79B3">
      <w:pPr>
        <w:pStyle w:val="FootnoteText"/>
      </w:pPr>
      <w:r>
        <w:rPr>
          <w:rStyle w:val="FootnoteReference"/>
        </w:rPr>
        <w:footnoteRef/>
      </w:r>
      <w:r>
        <w:t xml:space="preserve"> </w:t>
      </w:r>
      <w:r w:rsidRPr="005F724F">
        <w:rPr>
          <w:rFonts w:ascii="Times New Roman" w:hAnsi="Times New Roman" w:cs="Times New Roman"/>
          <w:i/>
          <w:iCs/>
        </w:rPr>
        <w:t>Id.</w:t>
      </w:r>
    </w:p>
  </w:footnote>
  <w:footnote w:id="112">
    <w:p w14:paraId="58965D85" w14:textId="46AB2283" w:rsidR="000D59BC" w:rsidRDefault="000D59BC">
      <w:pPr>
        <w:pStyle w:val="FootnoteText"/>
      </w:pPr>
      <w:r>
        <w:rPr>
          <w:rStyle w:val="FootnoteReference"/>
        </w:rPr>
        <w:footnoteRef/>
      </w:r>
      <w:r>
        <w:t xml:space="preserve"> </w:t>
      </w:r>
      <w:r w:rsidR="002D40DE" w:rsidRPr="005F724F">
        <w:rPr>
          <w:rFonts w:ascii="Times New Roman" w:hAnsi="Times New Roman" w:cs="Times New Roman"/>
          <w:i/>
          <w:iCs/>
        </w:rPr>
        <w:t>Id.</w:t>
      </w:r>
      <w:r w:rsidR="002D40DE">
        <w:rPr>
          <w:rFonts w:ascii="Times New Roman" w:hAnsi="Times New Roman" w:cs="Times New Roman"/>
          <w:i/>
          <w:iCs/>
        </w:rPr>
        <w:t xml:space="preserve"> </w:t>
      </w:r>
      <w:r w:rsidR="002D40DE" w:rsidRPr="002D40DE">
        <w:rPr>
          <w:rFonts w:ascii="Times New Roman" w:hAnsi="Times New Roman" w:cs="Times New Roman"/>
        </w:rPr>
        <w:t>at 357.</w:t>
      </w:r>
    </w:p>
  </w:footnote>
  <w:footnote w:id="113">
    <w:p w14:paraId="379A9340" w14:textId="0B9F0CFD" w:rsidR="00A72800" w:rsidRDefault="00A72800">
      <w:pPr>
        <w:pStyle w:val="FootnoteText"/>
      </w:pPr>
      <w:r>
        <w:rPr>
          <w:rStyle w:val="FootnoteReference"/>
        </w:rPr>
        <w:footnoteRef/>
      </w:r>
      <w:r>
        <w:t xml:space="preserve"> </w:t>
      </w:r>
      <w:r w:rsidRPr="005F724F">
        <w:rPr>
          <w:rFonts w:ascii="Times New Roman" w:hAnsi="Times New Roman" w:cs="Times New Roman"/>
          <w:i/>
          <w:iCs/>
        </w:rPr>
        <w:t>Id.</w:t>
      </w:r>
      <w:r>
        <w:rPr>
          <w:rFonts w:ascii="Times New Roman" w:hAnsi="Times New Roman" w:cs="Times New Roman"/>
          <w:i/>
          <w:iCs/>
        </w:rPr>
        <w:t xml:space="preserve"> </w:t>
      </w:r>
      <w:r w:rsidRPr="002D40DE">
        <w:rPr>
          <w:rFonts w:ascii="Times New Roman" w:hAnsi="Times New Roman" w:cs="Times New Roman"/>
        </w:rPr>
        <w:t>at 35</w:t>
      </w:r>
      <w:r>
        <w:rPr>
          <w:rFonts w:ascii="Times New Roman" w:hAnsi="Times New Roman" w:cs="Times New Roman"/>
        </w:rPr>
        <w:t>1</w:t>
      </w:r>
      <w:r w:rsidRPr="002D40DE">
        <w:rPr>
          <w:rFonts w:ascii="Times New Roman" w:hAnsi="Times New Roman" w:cs="Times New Roman"/>
        </w:rPr>
        <w:t>.</w:t>
      </w:r>
    </w:p>
  </w:footnote>
  <w:footnote w:id="114">
    <w:p w14:paraId="300A1F84" w14:textId="7D3C42D9" w:rsidR="00725F2C" w:rsidRDefault="00725F2C">
      <w:pPr>
        <w:pStyle w:val="FootnoteText"/>
      </w:pPr>
      <w:r>
        <w:rPr>
          <w:rStyle w:val="FootnoteReference"/>
        </w:rPr>
        <w:footnoteRef/>
      </w:r>
      <w:r>
        <w:t xml:space="preserve"> </w:t>
      </w:r>
      <w:r w:rsidRPr="00725F2C">
        <w:rPr>
          <w:rFonts w:ascii="Times New Roman" w:hAnsi="Times New Roman" w:cs="Times New Roman"/>
          <w:i/>
          <w:iCs/>
        </w:rPr>
        <w:t>See</w:t>
      </w:r>
      <w:r>
        <w:t xml:space="preserve"> </w:t>
      </w:r>
      <w:r>
        <w:rPr>
          <w:rFonts w:ascii="Times New Roman" w:hAnsi="Times New Roman" w:cs="Times New Roman"/>
        </w:rPr>
        <w:t xml:space="preserve">Leibenluft, </w:t>
      </w:r>
      <w:r w:rsidRPr="0028704E">
        <w:rPr>
          <w:rFonts w:ascii="Times New Roman" w:hAnsi="Times New Roman" w:cs="Times New Roman"/>
          <w:i/>
          <w:iCs/>
        </w:rPr>
        <w:t>supra</w:t>
      </w:r>
      <w:r>
        <w:rPr>
          <w:rFonts w:ascii="Times New Roman" w:hAnsi="Times New Roman" w:cs="Times New Roman"/>
        </w:rPr>
        <w:t xml:space="preserve"> note 94, at 849.</w:t>
      </w:r>
    </w:p>
  </w:footnote>
  <w:footnote w:id="115">
    <w:p w14:paraId="7D50BDE0" w14:textId="212B08D2" w:rsidR="005A23DB" w:rsidRDefault="005A23DB">
      <w:pPr>
        <w:pStyle w:val="FootnoteText"/>
      </w:pPr>
      <w:r>
        <w:rPr>
          <w:rStyle w:val="FootnoteReference"/>
        </w:rPr>
        <w:footnoteRef/>
      </w:r>
      <w:r>
        <w:t xml:space="preserve"> </w:t>
      </w:r>
      <w:r w:rsidR="007E1F0E">
        <w:rPr>
          <w:rFonts w:ascii="Times New Roman" w:hAnsi="Times New Roman" w:cs="Times New Roman"/>
        </w:rPr>
        <w:t>Heather Landi</w:t>
      </w:r>
      <w:r w:rsidR="007E1F0E" w:rsidRPr="007E1F0E">
        <w:rPr>
          <w:rFonts w:ascii="Times New Roman" w:hAnsi="Times New Roman" w:cs="Times New Roman"/>
        </w:rPr>
        <w:t xml:space="preserve">, </w:t>
      </w:r>
      <w:r w:rsidR="007E1F0E" w:rsidRPr="007E1F0E">
        <w:rPr>
          <w:rFonts w:ascii="Times New Roman" w:hAnsi="Times New Roman" w:cs="Times New Roman"/>
          <w:i/>
          <w:iCs/>
        </w:rPr>
        <w:t xml:space="preserve">Healthcare </w:t>
      </w:r>
      <w:r w:rsidR="007E1F0E">
        <w:rPr>
          <w:rFonts w:ascii="Times New Roman" w:hAnsi="Times New Roman" w:cs="Times New Roman"/>
          <w:i/>
          <w:iCs/>
        </w:rPr>
        <w:t>L</w:t>
      </w:r>
      <w:r w:rsidR="007E1F0E" w:rsidRPr="007E1F0E">
        <w:rPr>
          <w:rFonts w:ascii="Times New Roman" w:hAnsi="Times New Roman" w:cs="Times New Roman"/>
          <w:i/>
          <w:iCs/>
        </w:rPr>
        <w:t xml:space="preserve">eaders </w:t>
      </w:r>
      <w:r w:rsidR="007E1F0E">
        <w:rPr>
          <w:rFonts w:ascii="Times New Roman" w:hAnsi="Times New Roman" w:cs="Times New Roman"/>
          <w:i/>
          <w:iCs/>
        </w:rPr>
        <w:t>L</w:t>
      </w:r>
      <w:r w:rsidR="007E1F0E" w:rsidRPr="007E1F0E">
        <w:rPr>
          <w:rFonts w:ascii="Times New Roman" w:hAnsi="Times New Roman" w:cs="Times New Roman"/>
          <w:i/>
          <w:iCs/>
        </w:rPr>
        <w:t xml:space="preserve">ook </w:t>
      </w:r>
      <w:r w:rsidR="00761E56">
        <w:rPr>
          <w:rFonts w:ascii="Times New Roman" w:hAnsi="Times New Roman" w:cs="Times New Roman"/>
          <w:i/>
          <w:iCs/>
        </w:rPr>
        <w:t>a</w:t>
      </w:r>
      <w:r w:rsidR="007E1F0E" w:rsidRPr="007E1F0E">
        <w:rPr>
          <w:rFonts w:ascii="Times New Roman" w:hAnsi="Times New Roman" w:cs="Times New Roman"/>
          <w:i/>
          <w:iCs/>
        </w:rPr>
        <w:t xml:space="preserve">t the </w:t>
      </w:r>
      <w:r w:rsidR="007E1F0E">
        <w:rPr>
          <w:rFonts w:ascii="Times New Roman" w:hAnsi="Times New Roman" w:cs="Times New Roman"/>
          <w:i/>
          <w:iCs/>
        </w:rPr>
        <w:t>P</w:t>
      </w:r>
      <w:r w:rsidR="007E1F0E" w:rsidRPr="007E1F0E">
        <w:rPr>
          <w:rFonts w:ascii="Times New Roman" w:hAnsi="Times New Roman" w:cs="Times New Roman"/>
          <w:i/>
          <w:iCs/>
        </w:rPr>
        <w:t xml:space="preserve">ast, </w:t>
      </w:r>
      <w:r w:rsidR="007E1F0E">
        <w:rPr>
          <w:rFonts w:ascii="Times New Roman" w:hAnsi="Times New Roman" w:cs="Times New Roman"/>
          <w:i/>
          <w:iCs/>
        </w:rPr>
        <w:t>P</w:t>
      </w:r>
      <w:r w:rsidR="007E1F0E" w:rsidRPr="007E1F0E">
        <w:rPr>
          <w:rFonts w:ascii="Times New Roman" w:hAnsi="Times New Roman" w:cs="Times New Roman"/>
          <w:i/>
          <w:iCs/>
        </w:rPr>
        <w:t xml:space="preserve">resent and </w:t>
      </w:r>
      <w:r w:rsidR="007E1F0E">
        <w:rPr>
          <w:rFonts w:ascii="Times New Roman" w:hAnsi="Times New Roman" w:cs="Times New Roman"/>
          <w:i/>
          <w:iCs/>
        </w:rPr>
        <w:t>F</w:t>
      </w:r>
      <w:r w:rsidR="007E1F0E" w:rsidRPr="007E1F0E">
        <w:rPr>
          <w:rFonts w:ascii="Times New Roman" w:hAnsi="Times New Roman" w:cs="Times New Roman"/>
          <w:i/>
          <w:iCs/>
        </w:rPr>
        <w:t xml:space="preserve">uture of </w:t>
      </w:r>
      <w:r w:rsidR="007E1F0E">
        <w:rPr>
          <w:rFonts w:ascii="Times New Roman" w:hAnsi="Times New Roman" w:cs="Times New Roman"/>
          <w:i/>
          <w:iCs/>
        </w:rPr>
        <w:t>C</w:t>
      </w:r>
      <w:r w:rsidR="007E1F0E" w:rsidRPr="007E1F0E">
        <w:rPr>
          <w:rFonts w:ascii="Times New Roman" w:hAnsi="Times New Roman" w:cs="Times New Roman"/>
          <w:i/>
          <w:iCs/>
        </w:rPr>
        <w:t>onsolidation</w:t>
      </w:r>
      <w:r w:rsidR="000B2272">
        <w:rPr>
          <w:rFonts w:ascii="Times New Roman" w:hAnsi="Times New Roman" w:cs="Times New Roman"/>
          <w:i/>
          <w:iCs/>
        </w:rPr>
        <w:t xml:space="preserve">, </w:t>
      </w:r>
      <w:r w:rsidR="000B2272" w:rsidRPr="000B2272">
        <w:rPr>
          <w:rFonts w:ascii="Times New Roman" w:hAnsi="Times New Roman" w:cs="Times New Roman"/>
        </w:rPr>
        <w:t>Fierce HealthCare</w:t>
      </w:r>
      <w:r w:rsidR="007E1F0E" w:rsidRPr="007E1F0E">
        <w:rPr>
          <w:rFonts w:ascii="Times New Roman" w:hAnsi="Times New Roman" w:cs="Times New Roman"/>
        </w:rPr>
        <w:t xml:space="preserve"> (</w:t>
      </w:r>
      <w:r w:rsidR="007451A8">
        <w:rPr>
          <w:rFonts w:ascii="Times New Roman" w:hAnsi="Times New Roman" w:cs="Times New Roman"/>
        </w:rPr>
        <w:t>May 2,</w:t>
      </w:r>
      <w:r w:rsidR="007E1F0E" w:rsidRPr="007E1F0E">
        <w:rPr>
          <w:rFonts w:ascii="Times New Roman" w:hAnsi="Times New Roman" w:cs="Times New Roman"/>
        </w:rPr>
        <w:t xml:space="preserve"> 201</w:t>
      </w:r>
      <w:r w:rsidR="007451A8">
        <w:rPr>
          <w:rFonts w:ascii="Times New Roman" w:hAnsi="Times New Roman" w:cs="Times New Roman"/>
        </w:rPr>
        <w:t>9</w:t>
      </w:r>
      <w:r w:rsidR="007E1F0E" w:rsidRPr="007E1F0E">
        <w:rPr>
          <w:rFonts w:ascii="Times New Roman" w:hAnsi="Times New Roman" w:cs="Times New Roman"/>
        </w:rPr>
        <w:t xml:space="preserve">), </w:t>
      </w:r>
      <w:r w:rsidR="00761E56" w:rsidRPr="00761E56">
        <w:rPr>
          <w:rFonts w:ascii="Times New Roman" w:hAnsi="Times New Roman" w:cs="Times New Roman"/>
        </w:rPr>
        <w:t>https://www.fiercehealthcare.com/practices/healthcare-leaders-look-at-past-present-and-future-consolidation</w:t>
      </w:r>
      <w:r w:rsidR="007451A8">
        <w:rPr>
          <w:rFonts w:ascii="Times New Roman" w:hAnsi="Times New Roman" w:cs="Times New Roman"/>
        </w:rPr>
        <w:t>.</w:t>
      </w:r>
    </w:p>
  </w:footnote>
  <w:footnote w:id="116">
    <w:p w14:paraId="57CD35B9" w14:textId="1A832E9C" w:rsidR="00893D9C" w:rsidRPr="00893D9C" w:rsidRDefault="0074061D" w:rsidP="00893D9C">
      <w:pPr>
        <w:pStyle w:val="FootnoteText"/>
        <w:rPr>
          <w:rFonts w:ascii="Times New Roman" w:hAnsi="Times New Roman" w:cs="Times New Roman"/>
        </w:rPr>
      </w:pPr>
      <w:r>
        <w:rPr>
          <w:rStyle w:val="FootnoteReference"/>
        </w:rPr>
        <w:footnoteRef/>
      </w:r>
      <w:r>
        <w:t xml:space="preserve"> </w:t>
      </w:r>
      <w:r w:rsidRPr="00725F2C">
        <w:rPr>
          <w:rFonts w:ascii="Times New Roman" w:hAnsi="Times New Roman" w:cs="Times New Roman"/>
          <w:i/>
          <w:iCs/>
        </w:rPr>
        <w:t>See</w:t>
      </w:r>
      <w:r>
        <w:t xml:space="preserve"> </w:t>
      </w:r>
      <w:r>
        <w:rPr>
          <w:rFonts w:ascii="Times New Roman" w:hAnsi="Times New Roman" w:cs="Times New Roman"/>
        </w:rPr>
        <w:t xml:space="preserve">Leibenluft, </w:t>
      </w:r>
      <w:r w:rsidRPr="0028704E">
        <w:rPr>
          <w:rFonts w:ascii="Times New Roman" w:hAnsi="Times New Roman" w:cs="Times New Roman"/>
          <w:i/>
          <w:iCs/>
        </w:rPr>
        <w:t>supra</w:t>
      </w:r>
      <w:r>
        <w:rPr>
          <w:rFonts w:ascii="Times New Roman" w:hAnsi="Times New Roman" w:cs="Times New Roman"/>
        </w:rPr>
        <w:t xml:space="preserve"> note 94, at 849</w:t>
      </w:r>
      <w:r w:rsidR="00C2389D">
        <w:rPr>
          <w:rFonts w:ascii="Times New Roman" w:hAnsi="Times New Roman" w:cs="Times New Roman"/>
        </w:rPr>
        <w:t>-850</w:t>
      </w:r>
      <w:r>
        <w:rPr>
          <w:rFonts w:ascii="Times New Roman" w:hAnsi="Times New Roman" w:cs="Times New Roman"/>
        </w:rPr>
        <w:t>.</w:t>
      </w:r>
      <w:r w:rsidR="00C2389D">
        <w:rPr>
          <w:rFonts w:ascii="Times New Roman" w:hAnsi="Times New Roman" w:cs="Times New Roman"/>
        </w:rPr>
        <w:t xml:space="preserve"> (“</w:t>
      </w:r>
      <w:r w:rsidR="00893D9C" w:rsidRPr="00893D9C">
        <w:rPr>
          <w:rFonts w:ascii="Times New Roman" w:hAnsi="Times New Roman" w:cs="Times New Roman"/>
        </w:rPr>
        <w:t>Very few of the cases brought by the government went to trial;</w:t>
      </w:r>
    </w:p>
    <w:p w14:paraId="65C4A1F2" w14:textId="67A030F6" w:rsidR="0074061D" w:rsidRPr="00D76BE6" w:rsidRDefault="00893D9C" w:rsidP="00893D9C">
      <w:pPr>
        <w:pStyle w:val="FootnoteText"/>
        <w:rPr>
          <w:rFonts w:ascii="Times New Roman" w:hAnsi="Times New Roman" w:cs="Times New Roman"/>
        </w:rPr>
      </w:pPr>
      <w:r w:rsidRPr="00893D9C">
        <w:rPr>
          <w:rFonts w:ascii="Times New Roman" w:hAnsi="Times New Roman" w:cs="Times New Roman"/>
        </w:rPr>
        <w:t>instead, they generally settled with some form of consent decree that,</w:t>
      </w:r>
      <w:r w:rsidR="00D76BE6">
        <w:rPr>
          <w:rFonts w:ascii="Times New Roman" w:hAnsi="Times New Roman" w:cs="Times New Roman"/>
        </w:rPr>
        <w:t xml:space="preserve"> </w:t>
      </w:r>
      <w:r w:rsidRPr="00893D9C">
        <w:rPr>
          <w:rFonts w:ascii="Times New Roman" w:hAnsi="Times New Roman" w:cs="Times New Roman"/>
        </w:rPr>
        <w:t>among other things, prohibited the physicians from jointly negotiating</w:t>
      </w:r>
      <w:r w:rsidR="00D76BE6">
        <w:rPr>
          <w:rFonts w:ascii="Times New Roman" w:hAnsi="Times New Roman" w:cs="Times New Roman"/>
        </w:rPr>
        <w:t xml:space="preserve"> </w:t>
      </w:r>
      <w:r w:rsidRPr="00893D9C">
        <w:rPr>
          <w:rFonts w:ascii="Times New Roman" w:hAnsi="Times New Roman" w:cs="Times New Roman"/>
        </w:rPr>
        <w:t>with health plans unless the physicians were economically integrated.</w:t>
      </w:r>
      <w:r w:rsidR="00D76BE6">
        <w:rPr>
          <w:rFonts w:ascii="Times New Roman" w:hAnsi="Times New Roman" w:cs="Times New Roman"/>
        </w:rPr>
        <w:t>”)</w:t>
      </w:r>
    </w:p>
  </w:footnote>
  <w:footnote w:id="117">
    <w:p w14:paraId="1DF1F11B" w14:textId="76FAB7FE" w:rsidR="003150D6" w:rsidRDefault="003150D6" w:rsidP="000303F2">
      <w:pPr>
        <w:pStyle w:val="FootnoteText"/>
      </w:pPr>
      <w:r>
        <w:rPr>
          <w:rStyle w:val="FootnoteReference"/>
        </w:rPr>
        <w:footnoteRef/>
      </w:r>
      <w:r>
        <w:t xml:space="preserve"> </w:t>
      </w:r>
      <w:r w:rsidRPr="000303F2">
        <w:rPr>
          <w:rFonts w:ascii="Times New Roman" w:hAnsi="Times New Roman" w:cs="Times New Roman"/>
        </w:rPr>
        <w:t xml:space="preserve">US Department of Justice and Federal Trade Commission, </w:t>
      </w:r>
      <w:r w:rsidR="0014328C" w:rsidRPr="000303F2">
        <w:rPr>
          <w:rFonts w:ascii="Times New Roman" w:hAnsi="Times New Roman" w:cs="Times New Roman"/>
        </w:rPr>
        <w:t>FTC File No. P96503</w:t>
      </w:r>
      <w:r w:rsidR="00794974" w:rsidRPr="000303F2">
        <w:rPr>
          <w:rFonts w:ascii="Times New Roman" w:hAnsi="Times New Roman" w:cs="Times New Roman"/>
        </w:rPr>
        <w:t>,</w:t>
      </w:r>
      <w:r w:rsidR="0014328C" w:rsidRPr="000303F2">
        <w:rPr>
          <w:rFonts w:ascii="Times New Roman" w:hAnsi="Times New Roman" w:cs="Times New Roman"/>
        </w:rPr>
        <w:t xml:space="preserve"> </w:t>
      </w:r>
      <w:r w:rsidRPr="000303F2">
        <w:rPr>
          <w:rFonts w:ascii="Times New Roman" w:hAnsi="Times New Roman" w:cs="Times New Roman"/>
          <w:i/>
          <w:iCs/>
        </w:rPr>
        <w:t>Statements of Antitrust Enforcement Policy in Health Care</w:t>
      </w:r>
      <w:r w:rsidRPr="000303F2">
        <w:rPr>
          <w:rFonts w:ascii="Times New Roman" w:hAnsi="Times New Roman" w:cs="Times New Roman"/>
        </w:rPr>
        <w:t xml:space="preserve"> </w:t>
      </w:r>
      <w:r w:rsidR="003E29F1" w:rsidRPr="000303F2">
        <w:rPr>
          <w:rFonts w:ascii="Times New Roman" w:hAnsi="Times New Roman" w:cs="Times New Roman"/>
        </w:rPr>
        <w:t xml:space="preserve">(Aug. 1996), </w:t>
      </w:r>
      <w:r w:rsidR="00794974" w:rsidRPr="000303F2">
        <w:rPr>
          <w:rFonts w:ascii="Times New Roman" w:hAnsi="Times New Roman" w:cs="Times New Roman"/>
        </w:rPr>
        <w:t xml:space="preserve">at </w:t>
      </w:r>
      <w:r w:rsidR="000303F2" w:rsidRPr="000303F2">
        <w:rPr>
          <w:rFonts w:ascii="Times New Roman" w:hAnsi="Times New Roman" w:cs="Times New Roman"/>
        </w:rPr>
        <w:t>80.</w:t>
      </w:r>
    </w:p>
  </w:footnote>
  <w:footnote w:id="118">
    <w:p w14:paraId="07AF3BAA" w14:textId="66F61B97" w:rsidR="00750955" w:rsidRDefault="00750955">
      <w:pPr>
        <w:pStyle w:val="FootnoteText"/>
      </w:pPr>
      <w:r>
        <w:rPr>
          <w:rStyle w:val="FootnoteReference"/>
        </w:rPr>
        <w:footnoteRef/>
      </w:r>
      <w:r>
        <w:t xml:space="preserve"> </w:t>
      </w:r>
      <w:r w:rsidR="003E062B" w:rsidRPr="00725F2C">
        <w:rPr>
          <w:rFonts w:ascii="Times New Roman" w:hAnsi="Times New Roman" w:cs="Times New Roman"/>
          <w:i/>
          <w:iCs/>
        </w:rPr>
        <w:t>See</w:t>
      </w:r>
      <w:r w:rsidR="003E062B">
        <w:t xml:space="preserve"> </w:t>
      </w:r>
      <w:r w:rsidR="003E062B">
        <w:rPr>
          <w:rFonts w:ascii="Times New Roman" w:hAnsi="Times New Roman" w:cs="Times New Roman"/>
        </w:rPr>
        <w:t xml:space="preserve">Leibenluft, </w:t>
      </w:r>
      <w:r w:rsidR="003E062B" w:rsidRPr="0028704E">
        <w:rPr>
          <w:rFonts w:ascii="Times New Roman" w:hAnsi="Times New Roman" w:cs="Times New Roman"/>
          <w:i/>
          <w:iCs/>
        </w:rPr>
        <w:t>supra</w:t>
      </w:r>
      <w:r w:rsidR="003E062B">
        <w:rPr>
          <w:rFonts w:ascii="Times New Roman" w:hAnsi="Times New Roman" w:cs="Times New Roman"/>
        </w:rPr>
        <w:t xml:space="preserve"> note 94, at 850.</w:t>
      </w:r>
    </w:p>
  </w:footnote>
  <w:footnote w:id="119">
    <w:p w14:paraId="209B6814" w14:textId="15A6B3FF" w:rsidR="007340D2" w:rsidRDefault="007340D2">
      <w:pPr>
        <w:pStyle w:val="FootnoteText"/>
      </w:pPr>
      <w:r>
        <w:rPr>
          <w:rStyle w:val="FootnoteReference"/>
        </w:rPr>
        <w:footnoteRef/>
      </w:r>
      <w:r>
        <w:t xml:space="preserve"> </w:t>
      </w:r>
      <w:r w:rsidR="00FB7862" w:rsidRPr="00FB7862">
        <w:rPr>
          <w:rFonts w:ascii="Times New Roman" w:hAnsi="Times New Roman" w:cs="Times New Roman"/>
          <w:i/>
          <w:iCs/>
        </w:rPr>
        <w:t>Id.</w:t>
      </w:r>
    </w:p>
  </w:footnote>
  <w:footnote w:id="120">
    <w:p w14:paraId="547D4952" w14:textId="13B8508D" w:rsidR="008272FF" w:rsidRPr="00D3620B" w:rsidRDefault="008272FF">
      <w:pPr>
        <w:pStyle w:val="FootnoteText"/>
      </w:pPr>
      <w:r>
        <w:rPr>
          <w:rStyle w:val="FootnoteReference"/>
        </w:rPr>
        <w:footnoteRef/>
      </w:r>
      <w:r>
        <w:t xml:space="preserve"> </w:t>
      </w:r>
      <w:r w:rsidR="00D3620B" w:rsidRPr="00D3620B">
        <w:rPr>
          <w:rFonts w:ascii="Times New Roman" w:hAnsi="Times New Roman" w:cs="Times New Roman"/>
          <w:i/>
          <w:iCs/>
        </w:rPr>
        <w:t>North Texas Specialty Physicians (NTSP) v. FTC</w:t>
      </w:r>
      <w:r w:rsidR="00D3620B">
        <w:rPr>
          <w:rFonts w:ascii="Times New Roman" w:hAnsi="Times New Roman" w:cs="Times New Roman"/>
        </w:rPr>
        <w:t xml:space="preserve">, </w:t>
      </w:r>
      <w:r w:rsidR="009B33B2" w:rsidRPr="009B33B2">
        <w:rPr>
          <w:rFonts w:ascii="Times New Roman" w:hAnsi="Times New Roman" w:cs="Times New Roman"/>
        </w:rPr>
        <w:t>528 F.3d 346</w:t>
      </w:r>
      <w:r w:rsidR="009B33B2">
        <w:rPr>
          <w:rFonts w:ascii="Times New Roman" w:hAnsi="Times New Roman" w:cs="Times New Roman"/>
        </w:rPr>
        <w:t>, 352 (5</w:t>
      </w:r>
      <w:r w:rsidR="009B33B2" w:rsidRPr="009B33B2">
        <w:rPr>
          <w:rFonts w:ascii="Times New Roman" w:hAnsi="Times New Roman" w:cs="Times New Roman"/>
        </w:rPr>
        <w:t>th</w:t>
      </w:r>
      <w:r w:rsidR="000609FD">
        <w:rPr>
          <w:rFonts w:ascii="Times New Roman" w:hAnsi="Times New Roman" w:cs="Times New Roman"/>
        </w:rPr>
        <w:t xml:space="preserve"> Cir. 2008)</w:t>
      </w:r>
      <w:r w:rsidR="00187548">
        <w:rPr>
          <w:rFonts w:ascii="Times New Roman" w:hAnsi="Times New Roman" w:cs="Times New Roman"/>
        </w:rPr>
        <w:t>.</w:t>
      </w:r>
      <w:r w:rsidR="009B33B2">
        <w:rPr>
          <w:rFonts w:ascii="Times New Roman" w:hAnsi="Times New Roman" w:cs="Times New Roman"/>
        </w:rPr>
        <w:t xml:space="preserve"> </w:t>
      </w:r>
    </w:p>
  </w:footnote>
  <w:footnote w:id="121">
    <w:p w14:paraId="54533E2F" w14:textId="230026FD" w:rsidR="00AF203D" w:rsidRPr="00AF203D" w:rsidRDefault="00AF203D">
      <w:pPr>
        <w:pStyle w:val="FootnoteText"/>
      </w:pPr>
      <w:r>
        <w:rPr>
          <w:rStyle w:val="FootnoteReference"/>
        </w:rPr>
        <w:footnoteRef/>
      </w:r>
      <w:r>
        <w:t xml:space="preserve"> </w:t>
      </w:r>
      <w:r w:rsidRPr="00AF203D">
        <w:rPr>
          <w:rFonts w:ascii="Times New Roman" w:hAnsi="Times New Roman" w:cs="Times New Roman"/>
          <w:i/>
          <w:iCs/>
        </w:rPr>
        <w:t>Id</w:t>
      </w:r>
      <w:r>
        <w:rPr>
          <w:rFonts w:ascii="Times New Roman" w:hAnsi="Times New Roman" w:cs="Times New Roman"/>
          <w:i/>
          <w:iCs/>
        </w:rPr>
        <w:t>.</w:t>
      </w:r>
      <w:r>
        <w:rPr>
          <w:rFonts w:ascii="Times New Roman" w:hAnsi="Times New Roman" w:cs="Times New Roman"/>
        </w:rPr>
        <w:t xml:space="preserve"> </w:t>
      </w:r>
    </w:p>
  </w:footnote>
  <w:footnote w:id="122">
    <w:p w14:paraId="35557BCD" w14:textId="0A46B91E" w:rsidR="00F77038" w:rsidRPr="00F77038" w:rsidRDefault="00F77038">
      <w:pPr>
        <w:pStyle w:val="FootnoteText"/>
      </w:pPr>
      <w:r>
        <w:rPr>
          <w:rStyle w:val="FootnoteReference"/>
        </w:rPr>
        <w:footnoteRef/>
      </w:r>
      <w:r>
        <w:t xml:space="preserve"> </w:t>
      </w:r>
      <w:r w:rsidRPr="00AF203D">
        <w:rPr>
          <w:rFonts w:ascii="Times New Roman" w:hAnsi="Times New Roman" w:cs="Times New Roman"/>
          <w:i/>
          <w:iCs/>
        </w:rPr>
        <w:t>Id</w:t>
      </w:r>
      <w:r>
        <w:rPr>
          <w:rFonts w:ascii="Times New Roman" w:hAnsi="Times New Roman" w:cs="Times New Roman"/>
          <w:i/>
          <w:iCs/>
        </w:rPr>
        <w:t xml:space="preserve">. </w:t>
      </w:r>
      <w:r>
        <w:rPr>
          <w:rFonts w:ascii="Times New Roman" w:hAnsi="Times New Roman" w:cs="Times New Roman"/>
        </w:rPr>
        <w:t>at 356</w:t>
      </w:r>
      <w:r w:rsidR="00363A5C">
        <w:rPr>
          <w:rFonts w:ascii="Times New Roman" w:hAnsi="Times New Roman" w:cs="Times New Roman"/>
        </w:rPr>
        <w:t>.</w:t>
      </w:r>
    </w:p>
  </w:footnote>
  <w:footnote w:id="123">
    <w:p w14:paraId="3869DDC2" w14:textId="2A02D703" w:rsidR="00B3043E" w:rsidRDefault="00B3043E">
      <w:pPr>
        <w:pStyle w:val="FootnoteText"/>
      </w:pPr>
      <w:r>
        <w:rPr>
          <w:rStyle w:val="FootnoteReference"/>
        </w:rPr>
        <w:footnoteRef/>
      </w:r>
      <w:r>
        <w:t xml:space="preserve"> </w:t>
      </w:r>
      <w:r w:rsidRPr="00AF203D">
        <w:rPr>
          <w:rFonts w:ascii="Times New Roman" w:hAnsi="Times New Roman" w:cs="Times New Roman"/>
          <w:i/>
          <w:iCs/>
        </w:rPr>
        <w:t>Id</w:t>
      </w:r>
      <w:r>
        <w:rPr>
          <w:rFonts w:ascii="Times New Roman" w:hAnsi="Times New Roman" w:cs="Times New Roman"/>
          <w:i/>
          <w:iCs/>
        </w:rPr>
        <w:t>.</w:t>
      </w:r>
    </w:p>
  </w:footnote>
  <w:footnote w:id="124">
    <w:p w14:paraId="282D6998" w14:textId="2D74E09D" w:rsidR="00B3043E" w:rsidRPr="00764BDF" w:rsidRDefault="00B3043E">
      <w:pPr>
        <w:pStyle w:val="FootnoteText"/>
      </w:pPr>
      <w:r>
        <w:rPr>
          <w:rStyle w:val="FootnoteReference"/>
        </w:rPr>
        <w:footnoteRef/>
      </w:r>
      <w:r>
        <w:t xml:space="preserve"> </w:t>
      </w:r>
      <w:r w:rsidR="00764BDF" w:rsidRPr="00AF203D">
        <w:rPr>
          <w:rFonts w:ascii="Times New Roman" w:hAnsi="Times New Roman" w:cs="Times New Roman"/>
          <w:i/>
          <w:iCs/>
        </w:rPr>
        <w:t>Id</w:t>
      </w:r>
      <w:r w:rsidR="00764BDF">
        <w:rPr>
          <w:rFonts w:ascii="Times New Roman" w:hAnsi="Times New Roman" w:cs="Times New Roman"/>
          <w:i/>
          <w:iCs/>
        </w:rPr>
        <w:t xml:space="preserve">. </w:t>
      </w:r>
      <w:r w:rsidR="00764BDF">
        <w:rPr>
          <w:rFonts w:ascii="Times New Roman" w:hAnsi="Times New Roman" w:cs="Times New Roman"/>
        </w:rPr>
        <w:t>at 357.</w:t>
      </w:r>
    </w:p>
  </w:footnote>
  <w:footnote w:id="125">
    <w:p w14:paraId="596FCF04" w14:textId="71B05C16" w:rsidR="007F39E2" w:rsidRDefault="007F39E2">
      <w:pPr>
        <w:pStyle w:val="FootnoteText"/>
      </w:pPr>
      <w:r>
        <w:rPr>
          <w:rStyle w:val="FootnoteReference"/>
        </w:rPr>
        <w:footnoteRef/>
      </w:r>
      <w:r>
        <w:t xml:space="preserve"> </w:t>
      </w:r>
      <w:r w:rsidRPr="00AF203D">
        <w:rPr>
          <w:rFonts w:ascii="Times New Roman" w:hAnsi="Times New Roman" w:cs="Times New Roman"/>
          <w:i/>
          <w:iCs/>
        </w:rPr>
        <w:t>Id</w:t>
      </w:r>
      <w:r>
        <w:rPr>
          <w:rFonts w:ascii="Times New Roman" w:hAnsi="Times New Roman" w:cs="Times New Roman"/>
          <w:i/>
          <w:iCs/>
        </w:rPr>
        <w:t>.</w:t>
      </w:r>
    </w:p>
  </w:footnote>
  <w:footnote w:id="126">
    <w:p w14:paraId="538F5A4E" w14:textId="415A528A" w:rsidR="00C9110D" w:rsidRDefault="00C9110D">
      <w:pPr>
        <w:pStyle w:val="FootnoteText"/>
      </w:pPr>
      <w:r>
        <w:rPr>
          <w:rStyle w:val="FootnoteReference"/>
        </w:rPr>
        <w:footnoteRef/>
      </w:r>
      <w:r>
        <w:t xml:space="preserve"> </w:t>
      </w:r>
      <w:r w:rsidRPr="00C9110D">
        <w:rPr>
          <w:rFonts w:ascii="Times New Roman" w:hAnsi="Times New Roman" w:cs="Times New Roman"/>
          <w:i/>
          <w:iCs/>
        </w:rPr>
        <w:t>See</w:t>
      </w:r>
      <w:r w:rsidRPr="00C9110D">
        <w:rPr>
          <w:rFonts w:ascii="Times New Roman" w:hAnsi="Times New Roman" w:cs="Times New Roman"/>
        </w:rPr>
        <w:t xml:space="preserve"> Leibenluft, </w:t>
      </w:r>
      <w:r w:rsidRPr="00C9110D">
        <w:rPr>
          <w:rFonts w:ascii="Times New Roman" w:hAnsi="Times New Roman" w:cs="Times New Roman"/>
          <w:i/>
          <w:iCs/>
        </w:rPr>
        <w:t>supra</w:t>
      </w:r>
      <w:r w:rsidRPr="00C9110D">
        <w:rPr>
          <w:rFonts w:ascii="Times New Roman" w:hAnsi="Times New Roman" w:cs="Times New Roman"/>
        </w:rPr>
        <w:t xml:space="preserve"> note 94, at 852.</w:t>
      </w:r>
    </w:p>
  </w:footnote>
  <w:footnote w:id="127">
    <w:p w14:paraId="0CBC57A9" w14:textId="287D04BE" w:rsidR="002C621E" w:rsidRDefault="002C621E">
      <w:pPr>
        <w:pStyle w:val="FootnoteText"/>
      </w:pPr>
      <w:r>
        <w:rPr>
          <w:rStyle w:val="FootnoteReference"/>
        </w:rPr>
        <w:footnoteRef/>
      </w:r>
      <w:r>
        <w:t xml:space="preserve"> </w:t>
      </w:r>
      <w:r w:rsidR="00082F1C" w:rsidRPr="00AF203D">
        <w:rPr>
          <w:rFonts w:ascii="Times New Roman" w:hAnsi="Times New Roman" w:cs="Times New Roman"/>
          <w:i/>
          <w:iCs/>
        </w:rPr>
        <w:t>Id</w:t>
      </w:r>
      <w:r w:rsidR="00082F1C">
        <w:rPr>
          <w:rFonts w:ascii="Times New Roman" w:hAnsi="Times New Roman" w:cs="Times New Roman"/>
          <w:i/>
          <w:iCs/>
        </w:rPr>
        <w:t>.</w:t>
      </w:r>
      <w:r w:rsidR="009023E1">
        <w:rPr>
          <w:rFonts w:ascii="Times New Roman" w:hAnsi="Times New Roman" w:cs="Times New Roman"/>
          <w:i/>
          <w:iCs/>
        </w:rPr>
        <w:t xml:space="preserve"> s</w:t>
      </w:r>
      <w:r w:rsidR="00082F1C">
        <w:rPr>
          <w:rFonts w:ascii="Times New Roman" w:hAnsi="Times New Roman" w:cs="Times New Roman"/>
          <w:i/>
          <w:iCs/>
        </w:rPr>
        <w:t xml:space="preserve">ee also </w:t>
      </w:r>
      <w:r w:rsidR="006E7165" w:rsidRPr="006E7165">
        <w:rPr>
          <w:rFonts w:ascii="Times New Roman" w:hAnsi="Times New Roman" w:cs="Times New Roman"/>
          <w:i/>
          <w:iCs/>
        </w:rPr>
        <w:t>Saint Alphonsus Medical Center-Nampa Inc. v. St. Luke’s Health System</w:t>
      </w:r>
      <w:r w:rsidR="00BC1D90">
        <w:rPr>
          <w:rFonts w:ascii="Times New Roman" w:hAnsi="Times New Roman" w:cs="Times New Roman"/>
          <w:i/>
          <w:iCs/>
        </w:rPr>
        <w:t xml:space="preserve">, </w:t>
      </w:r>
      <w:r w:rsidR="00BC1D90" w:rsidRPr="00BC1D90">
        <w:rPr>
          <w:rFonts w:ascii="Times New Roman" w:hAnsi="Times New Roman" w:cs="Times New Roman"/>
        </w:rPr>
        <w:t>778 F.3d 775</w:t>
      </w:r>
      <w:r w:rsidR="00E861B5">
        <w:rPr>
          <w:rFonts w:ascii="Times New Roman" w:hAnsi="Times New Roman" w:cs="Times New Roman"/>
        </w:rPr>
        <w:t xml:space="preserve"> (9</w:t>
      </w:r>
      <w:r w:rsidR="00E861B5" w:rsidRPr="00E861B5">
        <w:rPr>
          <w:rFonts w:ascii="Times New Roman" w:hAnsi="Times New Roman" w:cs="Times New Roman"/>
        </w:rPr>
        <w:t>th</w:t>
      </w:r>
      <w:r w:rsidR="00E861B5">
        <w:rPr>
          <w:rFonts w:ascii="Times New Roman" w:hAnsi="Times New Roman" w:cs="Times New Roman"/>
        </w:rPr>
        <w:t xml:space="preserve"> Cir. 2015)</w:t>
      </w:r>
      <w:r w:rsidR="0070213B">
        <w:rPr>
          <w:rFonts w:ascii="Times New Roman" w:hAnsi="Times New Roman" w:cs="Times New Roman"/>
        </w:rPr>
        <w:t xml:space="preserve"> </w:t>
      </w:r>
    </w:p>
  </w:footnote>
  <w:footnote w:id="128">
    <w:p w14:paraId="6A19D9CE" w14:textId="57A56409" w:rsidR="00625F19" w:rsidRDefault="00625F19">
      <w:pPr>
        <w:pStyle w:val="FootnoteText"/>
      </w:pPr>
      <w:r>
        <w:rPr>
          <w:rStyle w:val="FootnoteReference"/>
        </w:rPr>
        <w:footnoteRef/>
      </w:r>
      <w:r>
        <w:t xml:space="preserve"> </w:t>
      </w:r>
      <w:r w:rsidRPr="00C9110D">
        <w:rPr>
          <w:rFonts w:ascii="Times New Roman" w:hAnsi="Times New Roman" w:cs="Times New Roman"/>
          <w:i/>
          <w:iCs/>
        </w:rPr>
        <w:t>See</w:t>
      </w:r>
      <w:r w:rsidRPr="00C9110D">
        <w:rPr>
          <w:rFonts w:ascii="Times New Roman" w:hAnsi="Times New Roman" w:cs="Times New Roman"/>
        </w:rPr>
        <w:t xml:space="preserve"> Leibenluft, </w:t>
      </w:r>
      <w:r w:rsidRPr="00C9110D">
        <w:rPr>
          <w:rFonts w:ascii="Times New Roman" w:hAnsi="Times New Roman" w:cs="Times New Roman"/>
          <w:i/>
          <w:iCs/>
        </w:rPr>
        <w:t>supra</w:t>
      </w:r>
      <w:r w:rsidRPr="00C9110D">
        <w:rPr>
          <w:rFonts w:ascii="Times New Roman" w:hAnsi="Times New Roman" w:cs="Times New Roman"/>
        </w:rPr>
        <w:t xml:space="preserve"> note 94, at 852.</w:t>
      </w:r>
    </w:p>
  </w:footnote>
  <w:footnote w:id="129">
    <w:p w14:paraId="3D567D9E" w14:textId="730C58D9" w:rsidR="00AD3ECD" w:rsidRPr="00EA4B48" w:rsidRDefault="00AD3ECD">
      <w:pPr>
        <w:pStyle w:val="FootnoteText"/>
      </w:pPr>
      <w:r>
        <w:rPr>
          <w:rStyle w:val="FootnoteReference"/>
        </w:rPr>
        <w:footnoteRef/>
      </w:r>
      <w:r>
        <w:t xml:space="preserve"> </w:t>
      </w:r>
      <w:r w:rsidRPr="00EA4B48">
        <w:rPr>
          <w:rFonts w:ascii="Times New Roman" w:hAnsi="Times New Roman" w:cs="Times New Roman"/>
        </w:rPr>
        <w:t>Thomas Greaney</w:t>
      </w:r>
      <w:r w:rsidR="00261C4D" w:rsidRPr="00EA4B48">
        <w:rPr>
          <w:rFonts w:ascii="Times New Roman" w:hAnsi="Times New Roman" w:cs="Times New Roman"/>
        </w:rPr>
        <w:t xml:space="preserve">, </w:t>
      </w:r>
      <w:r w:rsidR="00261C4D" w:rsidRPr="00EA4B48">
        <w:rPr>
          <w:rFonts w:ascii="Times New Roman" w:hAnsi="Times New Roman" w:cs="Times New Roman"/>
          <w:i/>
          <w:iCs/>
        </w:rPr>
        <w:t xml:space="preserve">Coping with Concentration, </w:t>
      </w:r>
      <w:r w:rsidR="00361740" w:rsidRPr="00361740">
        <w:rPr>
          <w:rFonts w:ascii="Times New Roman" w:hAnsi="Times New Roman" w:cs="Times New Roman"/>
        </w:rPr>
        <w:t>36</w:t>
      </w:r>
      <w:r w:rsidR="00361740">
        <w:rPr>
          <w:rFonts w:ascii="Times New Roman" w:hAnsi="Times New Roman" w:cs="Times New Roman"/>
          <w:i/>
          <w:iCs/>
        </w:rPr>
        <w:t xml:space="preserve"> </w:t>
      </w:r>
      <w:r w:rsidR="00261C4D" w:rsidRPr="00EA4B48">
        <w:rPr>
          <w:rFonts w:ascii="Times New Roman" w:hAnsi="Times New Roman" w:cs="Times New Roman"/>
        </w:rPr>
        <w:t>H</w:t>
      </w:r>
      <w:r w:rsidR="00261C4D" w:rsidRPr="00361740">
        <w:rPr>
          <w:rFonts w:ascii="Times New Roman" w:hAnsi="Times New Roman" w:cs="Times New Roman"/>
          <w:smallCaps/>
        </w:rPr>
        <w:t>ealth</w:t>
      </w:r>
      <w:r w:rsidR="00261C4D" w:rsidRPr="00EA4B48">
        <w:rPr>
          <w:rFonts w:ascii="Times New Roman" w:hAnsi="Times New Roman" w:cs="Times New Roman"/>
        </w:rPr>
        <w:t xml:space="preserve"> A</w:t>
      </w:r>
      <w:r w:rsidR="00261C4D" w:rsidRPr="00361740">
        <w:rPr>
          <w:rFonts w:ascii="Times New Roman" w:hAnsi="Times New Roman" w:cs="Times New Roman"/>
          <w:smallCaps/>
        </w:rPr>
        <w:t>ffairs</w:t>
      </w:r>
      <w:r w:rsidR="00261C4D" w:rsidRPr="00EA4B48">
        <w:rPr>
          <w:rFonts w:ascii="Times New Roman" w:hAnsi="Times New Roman" w:cs="Times New Roman"/>
        </w:rPr>
        <w:t xml:space="preserve"> </w:t>
      </w:r>
      <w:r w:rsidR="00361740">
        <w:rPr>
          <w:rFonts w:ascii="Times New Roman" w:hAnsi="Times New Roman" w:cs="Times New Roman"/>
        </w:rPr>
        <w:t xml:space="preserve">1564 </w:t>
      </w:r>
      <w:r w:rsidR="00261C4D" w:rsidRPr="00EA4B48">
        <w:rPr>
          <w:rFonts w:ascii="Times New Roman" w:hAnsi="Times New Roman" w:cs="Times New Roman"/>
        </w:rPr>
        <w:t xml:space="preserve">(Sep. 2017), </w:t>
      </w:r>
      <w:r w:rsidR="00B7179D" w:rsidRPr="00EA4B48">
        <w:rPr>
          <w:rFonts w:ascii="Times New Roman" w:hAnsi="Times New Roman" w:cs="Times New Roman"/>
        </w:rPr>
        <w:t xml:space="preserve">https://www.healthaffairs.org/doi/10.1377/hlthaff.2017.0558l; </w:t>
      </w:r>
      <w:r w:rsidR="00B7179D" w:rsidRPr="00EA4B48">
        <w:rPr>
          <w:rFonts w:ascii="Times New Roman" w:hAnsi="Times New Roman" w:cs="Times New Roman"/>
          <w:i/>
          <w:iCs/>
        </w:rPr>
        <w:t>see also</w:t>
      </w:r>
      <w:r w:rsidR="00B7179D" w:rsidRPr="00EA4B48">
        <w:rPr>
          <w:rFonts w:ascii="Times New Roman" w:hAnsi="Times New Roman" w:cs="Times New Roman"/>
        </w:rPr>
        <w:t xml:space="preserve"> </w:t>
      </w:r>
      <w:r w:rsidR="00860B20" w:rsidRPr="00EA4B48">
        <w:rPr>
          <w:rFonts w:ascii="Times New Roman" w:hAnsi="Times New Roman" w:cs="Times New Roman"/>
        </w:rPr>
        <w:t xml:space="preserve">William Sage, </w:t>
      </w:r>
      <w:r w:rsidR="00860B20" w:rsidRPr="00EA4B48">
        <w:rPr>
          <w:rFonts w:ascii="Times New Roman" w:hAnsi="Times New Roman" w:cs="Times New Roman"/>
          <w:i/>
          <w:iCs/>
        </w:rPr>
        <w:t>Protecting Competition and Consumers: A Conversation with Timothy J. Muris</w:t>
      </w:r>
      <w:r w:rsidR="00EA4B48" w:rsidRPr="00EA4B48">
        <w:rPr>
          <w:rFonts w:ascii="Times New Roman" w:hAnsi="Times New Roman" w:cs="Times New Roman"/>
          <w:i/>
          <w:iCs/>
        </w:rPr>
        <w:t xml:space="preserve">, </w:t>
      </w:r>
      <w:r w:rsidR="00361740" w:rsidRPr="00361740">
        <w:rPr>
          <w:rFonts w:ascii="Times New Roman" w:hAnsi="Times New Roman" w:cs="Times New Roman"/>
        </w:rPr>
        <w:t>22</w:t>
      </w:r>
      <w:r w:rsidR="00361740">
        <w:rPr>
          <w:rFonts w:ascii="Times New Roman" w:hAnsi="Times New Roman" w:cs="Times New Roman"/>
          <w:i/>
          <w:iCs/>
        </w:rPr>
        <w:t xml:space="preserve"> </w:t>
      </w:r>
      <w:r w:rsidR="00EA4B48" w:rsidRPr="00EA4B48">
        <w:rPr>
          <w:rFonts w:ascii="Times New Roman" w:hAnsi="Times New Roman" w:cs="Times New Roman"/>
        </w:rPr>
        <w:t>H</w:t>
      </w:r>
      <w:r w:rsidR="00EA4B48" w:rsidRPr="00361740">
        <w:rPr>
          <w:rFonts w:ascii="Times New Roman" w:hAnsi="Times New Roman" w:cs="Times New Roman"/>
          <w:smallCaps/>
        </w:rPr>
        <w:t>ealth</w:t>
      </w:r>
      <w:r w:rsidR="00EA4B48" w:rsidRPr="00EA4B48">
        <w:rPr>
          <w:rFonts w:ascii="Times New Roman" w:hAnsi="Times New Roman" w:cs="Times New Roman"/>
        </w:rPr>
        <w:t xml:space="preserve"> A</w:t>
      </w:r>
      <w:r w:rsidR="00EA4B48" w:rsidRPr="00361740">
        <w:rPr>
          <w:rFonts w:ascii="Times New Roman" w:hAnsi="Times New Roman" w:cs="Times New Roman"/>
          <w:smallCaps/>
        </w:rPr>
        <w:t>ffairs</w:t>
      </w:r>
      <w:r w:rsidR="00EA4B48" w:rsidRPr="00EA4B48">
        <w:rPr>
          <w:rFonts w:ascii="Times New Roman" w:hAnsi="Times New Roman" w:cs="Times New Roman"/>
        </w:rPr>
        <w:t xml:space="preserve"> (Dec 2003), https://www.healthaffairs.org/doi/abs/10.1377/hlthaff.22.6.101.</w:t>
      </w:r>
    </w:p>
  </w:footnote>
  <w:footnote w:id="130">
    <w:p w14:paraId="50833D29" w14:textId="5CAEF607" w:rsidR="000667FC" w:rsidRDefault="000667FC">
      <w:pPr>
        <w:pStyle w:val="FootnoteText"/>
      </w:pPr>
      <w:r>
        <w:rPr>
          <w:rStyle w:val="FootnoteReference"/>
        </w:rPr>
        <w:footnoteRef/>
      </w:r>
      <w:r>
        <w:t xml:space="preserve"> </w:t>
      </w:r>
      <w:r w:rsidR="007A0CAC" w:rsidRPr="00C9110D">
        <w:rPr>
          <w:rFonts w:ascii="Times New Roman" w:hAnsi="Times New Roman" w:cs="Times New Roman"/>
          <w:i/>
          <w:iCs/>
        </w:rPr>
        <w:t>See</w:t>
      </w:r>
      <w:r w:rsidR="007A0CAC" w:rsidRPr="00C9110D">
        <w:rPr>
          <w:rFonts w:ascii="Times New Roman" w:hAnsi="Times New Roman" w:cs="Times New Roman"/>
        </w:rPr>
        <w:t xml:space="preserve"> </w:t>
      </w:r>
      <w:r w:rsidR="007A0CAC">
        <w:rPr>
          <w:rFonts w:ascii="Times New Roman" w:hAnsi="Times New Roman" w:cs="Times New Roman"/>
        </w:rPr>
        <w:t>Greaney</w:t>
      </w:r>
      <w:r w:rsidR="007A0CAC" w:rsidRPr="00C9110D">
        <w:rPr>
          <w:rFonts w:ascii="Times New Roman" w:hAnsi="Times New Roman" w:cs="Times New Roman"/>
        </w:rPr>
        <w:t xml:space="preserve">, </w:t>
      </w:r>
      <w:r w:rsidR="007A0CAC" w:rsidRPr="00C9110D">
        <w:rPr>
          <w:rFonts w:ascii="Times New Roman" w:hAnsi="Times New Roman" w:cs="Times New Roman"/>
          <w:i/>
          <w:iCs/>
        </w:rPr>
        <w:t>supra</w:t>
      </w:r>
      <w:r w:rsidR="007A0CAC" w:rsidRPr="00C9110D">
        <w:rPr>
          <w:rFonts w:ascii="Times New Roman" w:hAnsi="Times New Roman" w:cs="Times New Roman"/>
        </w:rPr>
        <w:t xml:space="preserve"> note </w:t>
      </w:r>
      <w:r w:rsidR="007A0CAC">
        <w:rPr>
          <w:rFonts w:ascii="Times New Roman" w:hAnsi="Times New Roman" w:cs="Times New Roman"/>
        </w:rPr>
        <w:t>129</w:t>
      </w:r>
      <w:r w:rsidR="007A0CAC" w:rsidRPr="00C9110D">
        <w:rPr>
          <w:rFonts w:ascii="Times New Roman" w:hAnsi="Times New Roman" w:cs="Times New Roman"/>
        </w:rPr>
        <w:t>.</w:t>
      </w:r>
    </w:p>
  </w:footnote>
  <w:footnote w:id="131">
    <w:p w14:paraId="5F6B19E5" w14:textId="6BA03D0E" w:rsidR="004F611A" w:rsidRPr="000669A2" w:rsidRDefault="004F611A">
      <w:pPr>
        <w:pStyle w:val="FootnoteText"/>
      </w:pPr>
      <w:r>
        <w:rPr>
          <w:rStyle w:val="FootnoteReference"/>
        </w:rPr>
        <w:footnoteRef/>
      </w:r>
      <w:r>
        <w:t xml:space="preserve"> </w:t>
      </w:r>
      <w:r w:rsidR="00E12911" w:rsidRPr="00F703AE">
        <w:rPr>
          <w:rFonts w:ascii="Times New Roman" w:hAnsi="Times New Roman" w:cs="Times New Roman"/>
        </w:rPr>
        <w:t xml:space="preserve">Brent D. Fulton, </w:t>
      </w:r>
      <w:r w:rsidR="00E12911" w:rsidRPr="00F703AE">
        <w:rPr>
          <w:rFonts w:ascii="Times New Roman" w:hAnsi="Times New Roman" w:cs="Times New Roman"/>
          <w:i/>
          <w:iCs/>
        </w:rPr>
        <w:t xml:space="preserve">Health Care Market Concentration Trends in The United States: Evidence </w:t>
      </w:r>
      <w:r w:rsidR="00697D70" w:rsidRPr="00F703AE">
        <w:rPr>
          <w:rFonts w:ascii="Times New Roman" w:hAnsi="Times New Roman" w:cs="Times New Roman"/>
          <w:i/>
          <w:iCs/>
        </w:rPr>
        <w:t>a</w:t>
      </w:r>
      <w:r w:rsidR="00E12911" w:rsidRPr="00F703AE">
        <w:rPr>
          <w:rFonts w:ascii="Times New Roman" w:hAnsi="Times New Roman" w:cs="Times New Roman"/>
          <w:i/>
          <w:iCs/>
        </w:rPr>
        <w:t>nd Policy Responses,</w:t>
      </w:r>
      <w:r w:rsidR="00E12911" w:rsidRPr="00F703AE">
        <w:rPr>
          <w:rFonts w:ascii="Times New Roman" w:hAnsi="Times New Roman" w:cs="Times New Roman"/>
        </w:rPr>
        <w:t xml:space="preserve"> </w:t>
      </w:r>
      <w:r w:rsidR="00361740">
        <w:rPr>
          <w:rFonts w:ascii="Times New Roman" w:hAnsi="Times New Roman" w:cs="Times New Roman"/>
        </w:rPr>
        <w:t xml:space="preserve">36 </w:t>
      </w:r>
      <w:r w:rsidR="00E12911" w:rsidRPr="00F703AE">
        <w:rPr>
          <w:rFonts w:ascii="Times New Roman" w:hAnsi="Times New Roman" w:cs="Times New Roman"/>
        </w:rPr>
        <w:t>H</w:t>
      </w:r>
      <w:r w:rsidR="00E12911" w:rsidRPr="00361740">
        <w:rPr>
          <w:rFonts w:ascii="Times New Roman" w:hAnsi="Times New Roman" w:cs="Times New Roman"/>
          <w:smallCaps/>
        </w:rPr>
        <w:t>ealth</w:t>
      </w:r>
      <w:r w:rsidR="00E12911" w:rsidRPr="00F703AE">
        <w:rPr>
          <w:rFonts w:ascii="Times New Roman" w:hAnsi="Times New Roman" w:cs="Times New Roman"/>
        </w:rPr>
        <w:t xml:space="preserve"> A</w:t>
      </w:r>
      <w:r w:rsidR="00E12911" w:rsidRPr="00361740">
        <w:rPr>
          <w:rFonts w:ascii="Times New Roman" w:hAnsi="Times New Roman" w:cs="Times New Roman"/>
          <w:smallCaps/>
        </w:rPr>
        <w:t>ffairs</w:t>
      </w:r>
      <w:r w:rsidR="00E12911" w:rsidRPr="00F703AE">
        <w:rPr>
          <w:rFonts w:ascii="Times New Roman" w:hAnsi="Times New Roman" w:cs="Times New Roman"/>
        </w:rPr>
        <w:t xml:space="preserve"> </w:t>
      </w:r>
      <w:r w:rsidR="00361740">
        <w:rPr>
          <w:rFonts w:ascii="Times New Roman" w:hAnsi="Times New Roman" w:cs="Times New Roman"/>
        </w:rPr>
        <w:t xml:space="preserve">1530 </w:t>
      </w:r>
      <w:r w:rsidR="00E12911" w:rsidRPr="00F703AE">
        <w:rPr>
          <w:rFonts w:ascii="Times New Roman" w:hAnsi="Times New Roman" w:cs="Times New Roman"/>
        </w:rPr>
        <w:t>(Sep. 2017)</w:t>
      </w:r>
      <w:r w:rsidR="00F703AE">
        <w:rPr>
          <w:rFonts w:ascii="Times New Roman" w:hAnsi="Times New Roman" w:cs="Times New Roman"/>
        </w:rPr>
        <w:t xml:space="preserve">, </w:t>
      </w:r>
      <w:r w:rsidR="00F703AE" w:rsidRPr="00F703AE">
        <w:rPr>
          <w:rFonts w:ascii="Times New Roman" w:hAnsi="Times New Roman" w:cs="Times New Roman"/>
        </w:rPr>
        <w:t>https://www.healthaffairs.org/doi/10.1377/hlthaff.2017.0556</w:t>
      </w:r>
      <w:r w:rsidR="00F703AE">
        <w:rPr>
          <w:rFonts w:ascii="Times New Roman" w:hAnsi="Times New Roman" w:cs="Times New Roman"/>
        </w:rPr>
        <w:t>.</w:t>
      </w:r>
      <w:r w:rsidR="00361740">
        <w:rPr>
          <w:rFonts w:ascii="Times New Roman" w:hAnsi="Times New Roman" w:cs="Times New Roman"/>
        </w:rPr>
        <w:t>;</w:t>
      </w:r>
      <w:r w:rsidR="00F703AE">
        <w:rPr>
          <w:rFonts w:ascii="Times New Roman" w:hAnsi="Times New Roman" w:cs="Times New Roman"/>
        </w:rPr>
        <w:t xml:space="preserve"> </w:t>
      </w:r>
      <w:r w:rsidR="00F703AE" w:rsidRPr="00F703AE">
        <w:rPr>
          <w:rFonts w:ascii="Times New Roman" w:hAnsi="Times New Roman" w:cs="Times New Roman"/>
          <w:i/>
          <w:iCs/>
        </w:rPr>
        <w:t>see also</w:t>
      </w:r>
      <w:r w:rsidR="00F703AE">
        <w:rPr>
          <w:rFonts w:ascii="Times New Roman" w:hAnsi="Times New Roman" w:cs="Times New Roman"/>
        </w:rPr>
        <w:t xml:space="preserve"> </w:t>
      </w:r>
      <w:r w:rsidR="00F27E9D">
        <w:rPr>
          <w:rFonts w:ascii="Times New Roman" w:hAnsi="Times New Roman" w:cs="Times New Roman"/>
        </w:rPr>
        <w:t>Ma</w:t>
      </w:r>
      <w:r w:rsidR="000669A2">
        <w:rPr>
          <w:rFonts w:ascii="Times New Roman" w:hAnsi="Times New Roman" w:cs="Times New Roman"/>
        </w:rPr>
        <w:t>r</w:t>
      </w:r>
      <w:r w:rsidR="00F27E9D">
        <w:rPr>
          <w:rFonts w:ascii="Times New Roman" w:hAnsi="Times New Roman" w:cs="Times New Roman"/>
        </w:rPr>
        <w:t xml:space="preserve">tin Gaynor, et al., </w:t>
      </w:r>
      <w:r w:rsidR="00F27E9D" w:rsidRPr="00F27E9D">
        <w:rPr>
          <w:rFonts w:ascii="Times New Roman" w:hAnsi="Times New Roman" w:cs="Times New Roman"/>
          <w:i/>
          <w:iCs/>
        </w:rPr>
        <w:t>The Industrial Organization of Health-Care Markets</w:t>
      </w:r>
      <w:r w:rsidR="00685647">
        <w:rPr>
          <w:rFonts w:ascii="Times New Roman" w:hAnsi="Times New Roman" w:cs="Times New Roman"/>
        </w:rPr>
        <w:t>, Th</w:t>
      </w:r>
      <w:r w:rsidR="005C64AF">
        <w:rPr>
          <w:rFonts w:ascii="Times New Roman" w:hAnsi="Times New Roman" w:cs="Times New Roman"/>
        </w:rPr>
        <w:t xml:space="preserve">e American Economic Association (Jun. 2015), </w:t>
      </w:r>
      <w:r w:rsidR="005C64AF" w:rsidRPr="005C64AF">
        <w:rPr>
          <w:rFonts w:ascii="Times New Roman" w:hAnsi="Times New Roman" w:cs="Times New Roman"/>
        </w:rPr>
        <w:t>https://www.aeaweb.org/articles?id=10.1257/jel.53.2.235</w:t>
      </w:r>
      <w:r w:rsidR="005C64AF">
        <w:rPr>
          <w:rFonts w:ascii="Times New Roman" w:hAnsi="Times New Roman" w:cs="Times New Roman"/>
        </w:rPr>
        <w:t xml:space="preserve">. </w:t>
      </w:r>
    </w:p>
  </w:footnote>
  <w:footnote w:id="132">
    <w:p w14:paraId="0C526DE7" w14:textId="616625C5" w:rsidR="00FF2EB6" w:rsidRDefault="00FF2EB6">
      <w:pPr>
        <w:pStyle w:val="FootnoteText"/>
      </w:pPr>
      <w:r>
        <w:rPr>
          <w:rStyle w:val="FootnoteReference"/>
        </w:rPr>
        <w:footnoteRef/>
      </w:r>
      <w:r>
        <w:t xml:space="preserve"> </w:t>
      </w:r>
      <w:r w:rsidRPr="00FF2EB6">
        <w:rPr>
          <w:rFonts w:ascii="Times New Roman" w:hAnsi="Times New Roman" w:cs="Times New Roman"/>
          <w:i/>
          <w:iCs/>
        </w:rPr>
        <w:t>Id.</w:t>
      </w:r>
    </w:p>
  </w:footnote>
  <w:footnote w:id="133">
    <w:p w14:paraId="3B878714" w14:textId="3D11A34E" w:rsidR="00283C80" w:rsidRDefault="00283C80">
      <w:pPr>
        <w:pStyle w:val="FootnoteText"/>
      </w:pPr>
      <w:r>
        <w:rPr>
          <w:rStyle w:val="FootnoteReference"/>
        </w:rPr>
        <w:footnoteRef/>
      </w:r>
      <w:r>
        <w:t xml:space="preserve"> </w:t>
      </w:r>
      <w:r w:rsidR="009C6F23">
        <w:rPr>
          <w:rFonts w:ascii="Times New Roman" w:hAnsi="Times New Roman" w:cs="Times New Roman"/>
          <w:i/>
          <w:iCs/>
        </w:rPr>
        <w:t>S</w:t>
      </w:r>
      <w:r w:rsidR="009C6F23" w:rsidRPr="000E14DB">
        <w:rPr>
          <w:rFonts w:ascii="Times New Roman" w:hAnsi="Times New Roman" w:cs="Times New Roman"/>
          <w:i/>
          <w:iCs/>
        </w:rPr>
        <w:t xml:space="preserve">ee </w:t>
      </w:r>
      <w:r w:rsidR="009C6F23" w:rsidRPr="000E14DB">
        <w:rPr>
          <w:rFonts w:ascii="Times New Roman" w:hAnsi="Times New Roman" w:cs="Times New Roman"/>
        </w:rPr>
        <w:t xml:space="preserve">Brown &amp; King, </w:t>
      </w:r>
      <w:r w:rsidR="009C6F23" w:rsidRPr="000E14DB">
        <w:rPr>
          <w:rFonts w:ascii="Times New Roman" w:hAnsi="Times New Roman" w:cs="Times New Roman"/>
          <w:i/>
          <w:iCs/>
        </w:rPr>
        <w:t>supra</w:t>
      </w:r>
      <w:r w:rsidR="009C6F23" w:rsidRPr="000E14DB">
        <w:rPr>
          <w:rFonts w:ascii="Times New Roman" w:hAnsi="Times New Roman" w:cs="Times New Roman"/>
        </w:rPr>
        <w:t xml:space="preserve"> note 15</w:t>
      </w:r>
      <w:r w:rsidR="00E31849">
        <w:rPr>
          <w:rFonts w:ascii="Times New Roman" w:hAnsi="Times New Roman" w:cs="Times New Roman"/>
        </w:rPr>
        <w:t>, at 86-88.</w:t>
      </w:r>
    </w:p>
  </w:footnote>
  <w:footnote w:id="134">
    <w:p w14:paraId="55AB35BE" w14:textId="7E906D34" w:rsidR="00AA44DE" w:rsidRDefault="00AA44DE">
      <w:pPr>
        <w:pStyle w:val="FootnoteText"/>
      </w:pPr>
      <w:r>
        <w:rPr>
          <w:rStyle w:val="FootnoteReference"/>
        </w:rPr>
        <w:footnoteRef/>
      </w:r>
      <w:r>
        <w:t xml:space="preserve"> </w:t>
      </w:r>
      <w:r w:rsidRPr="00AA44DE">
        <w:rPr>
          <w:rFonts w:ascii="Times New Roman" w:hAnsi="Times New Roman" w:cs="Times New Roman"/>
          <w:i/>
          <w:iCs/>
        </w:rPr>
        <w:t>See</w:t>
      </w:r>
      <w:r w:rsidRPr="00AA44DE">
        <w:rPr>
          <w:rFonts w:ascii="Times New Roman" w:hAnsi="Times New Roman" w:cs="Times New Roman"/>
        </w:rPr>
        <w:t xml:space="preserve"> Greaney, </w:t>
      </w:r>
      <w:r w:rsidRPr="00AA44DE">
        <w:rPr>
          <w:rFonts w:ascii="Times New Roman" w:hAnsi="Times New Roman" w:cs="Times New Roman"/>
          <w:i/>
          <w:iCs/>
        </w:rPr>
        <w:t>supra</w:t>
      </w:r>
      <w:r w:rsidRPr="00AA44DE">
        <w:rPr>
          <w:rFonts w:ascii="Times New Roman" w:hAnsi="Times New Roman" w:cs="Times New Roman"/>
        </w:rPr>
        <w:t xml:space="preserve"> note 93.</w:t>
      </w:r>
    </w:p>
  </w:footnote>
  <w:footnote w:id="135">
    <w:p w14:paraId="65881428" w14:textId="0CD6D708" w:rsidR="000F6E79" w:rsidRPr="00284236" w:rsidRDefault="000F6E79">
      <w:pPr>
        <w:pStyle w:val="FootnoteText"/>
        <w:rPr>
          <w:rFonts w:ascii="Times New Roman" w:hAnsi="Times New Roman" w:cs="Times New Roman"/>
        </w:rPr>
      </w:pPr>
      <w:r>
        <w:rPr>
          <w:rStyle w:val="FootnoteReference"/>
        </w:rPr>
        <w:footnoteRef/>
      </w:r>
      <w:r>
        <w:t xml:space="preserve"> </w:t>
      </w:r>
      <w:r w:rsidR="00120860" w:rsidRPr="00284236">
        <w:rPr>
          <w:rFonts w:ascii="Times New Roman" w:hAnsi="Times New Roman" w:cs="Times New Roman"/>
          <w:i/>
          <w:iCs/>
        </w:rPr>
        <w:t xml:space="preserve">United States v. Rockford Memorial Hospital Corp., </w:t>
      </w:r>
      <w:r w:rsidR="00120860" w:rsidRPr="00284236">
        <w:rPr>
          <w:rFonts w:ascii="Times New Roman" w:hAnsi="Times New Roman" w:cs="Times New Roman"/>
        </w:rPr>
        <w:t>898 F.2d 1278</w:t>
      </w:r>
      <w:r w:rsidR="008B3391" w:rsidRPr="00284236">
        <w:rPr>
          <w:rFonts w:ascii="Times New Roman" w:hAnsi="Times New Roman" w:cs="Times New Roman"/>
        </w:rPr>
        <w:t>, 1283-1286</w:t>
      </w:r>
      <w:r w:rsidR="00120860" w:rsidRPr="00284236">
        <w:rPr>
          <w:rFonts w:ascii="Times New Roman" w:hAnsi="Times New Roman" w:cs="Times New Roman"/>
        </w:rPr>
        <w:t xml:space="preserve"> (7th Cir</w:t>
      </w:r>
      <w:r w:rsidR="00235D8D" w:rsidRPr="00284236">
        <w:rPr>
          <w:rFonts w:ascii="Times New Roman" w:hAnsi="Times New Roman" w:cs="Times New Roman"/>
        </w:rPr>
        <w:t>. 1990</w:t>
      </w:r>
      <w:r w:rsidR="00120860" w:rsidRPr="00284236">
        <w:rPr>
          <w:rFonts w:ascii="Times New Roman" w:hAnsi="Times New Roman" w:cs="Times New Roman"/>
        </w:rPr>
        <w:t>)</w:t>
      </w:r>
      <w:r w:rsidR="00235D8D" w:rsidRPr="00284236">
        <w:rPr>
          <w:rFonts w:ascii="Times New Roman" w:hAnsi="Times New Roman" w:cs="Times New Roman"/>
        </w:rPr>
        <w:t xml:space="preserve">. </w:t>
      </w:r>
    </w:p>
  </w:footnote>
  <w:footnote w:id="136">
    <w:p w14:paraId="041EF7D4" w14:textId="51182C76" w:rsidR="00875B63" w:rsidRPr="00284236" w:rsidRDefault="00875B63">
      <w:pPr>
        <w:pStyle w:val="FootnoteText"/>
        <w:rPr>
          <w:rFonts w:ascii="Times New Roman" w:hAnsi="Times New Roman" w:cs="Times New Roman"/>
        </w:rPr>
      </w:pPr>
      <w:r w:rsidRPr="00284236">
        <w:rPr>
          <w:rStyle w:val="FootnoteReference"/>
          <w:rFonts w:ascii="Times New Roman" w:hAnsi="Times New Roman" w:cs="Times New Roman"/>
        </w:rPr>
        <w:footnoteRef/>
      </w:r>
      <w:r w:rsidRPr="00284236">
        <w:rPr>
          <w:rFonts w:ascii="Times New Roman" w:hAnsi="Times New Roman" w:cs="Times New Roman"/>
        </w:rPr>
        <w:t xml:space="preserve"> </w:t>
      </w:r>
      <w:r w:rsidR="00BC6B01" w:rsidRPr="00284236">
        <w:rPr>
          <w:rFonts w:ascii="Times New Roman" w:hAnsi="Times New Roman" w:cs="Times New Roman"/>
          <w:i/>
          <w:iCs/>
        </w:rPr>
        <w:t xml:space="preserve">Tampa Electric Co. v. </w:t>
      </w:r>
      <w:r w:rsidR="00CE7C33" w:rsidRPr="00284236">
        <w:rPr>
          <w:rFonts w:ascii="Times New Roman" w:hAnsi="Times New Roman" w:cs="Times New Roman"/>
          <w:i/>
          <w:iCs/>
        </w:rPr>
        <w:t>Nashville Coal Co.</w:t>
      </w:r>
      <w:r w:rsidR="00CE7C33" w:rsidRPr="00284236">
        <w:rPr>
          <w:rFonts w:ascii="Times New Roman" w:hAnsi="Times New Roman" w:cs="Times New Roman"/>
        </w:rPr>
        <w:t>, 365 U.S. 320</w:t>
      </w:r>
      <w:r w:rsidR="00D1707C" w:rsidRPr="00284236">
        <w:rPr>
          <w:rFonts w:ascii="Times New Roman" w:hAnsi="Times New Roman" w:cs="Times New Roman"/>
        </w:rPr>
        <w:t xml:space="preserve"> (1961). </w:t>
      </w:r>
      <w:r w:rsidR="005F5983" w:rsidRPr="000C4A58">
        <w:rPr>
          <w:rFonts w:ascii="Times New Roman" w:hAnsi="Times New Roman" w:cs="Times New Roman"/>
          <w:i/>
        </w:rPr>
        <w:t>See also</w:t>
      </w:r>
      <w:r w:rsidR="005F5983" w:rsidRPr="00284236">
        <w:rPr>
          <w:rFonts w:ascii="Times New Roman" w:hAnsi="Times New Roman" w:cs="Times New Roman"/>
        </w:rPr>
        <w:t xml:space="preserve">, </w:t>
      </w:r>
      <w:r w:rsidR="00541673" w:rsidRPr="00284236">
        <w:rPr>
          <w:rFonts w:ascii="Times New Roman" w:hAnsi="Times New Roman" w:cs="Times New Roman"/>
        </w:rPr>
        <w:t xml:space="preserve">Elzinga </w:t>
      </w:r>
      <w:r w:rsidR="0002373B" w:rsidRPr="00284236">
        <w:rPr>
          <w:rFonts w:ascii="Times New Roman" w:hAnsi="Times New Roman" w:cs="Times New Roman"/>
        </w:rPr>
        <w:t xml:space="preserve">&amp; </w:t>
      </w:r>
      <w:r w:rsidR="009F5A88" w:rsidRPr="00284236">
        <w:rPr>
          <w:rFonts w:ascii="Times New Roman" w:hAnsi="Times New Roman" w:cs="Times New Roman"/>
        </w:rPr>
        <w:t xml:space="preserve">Hogarty, </w:t>
      </w:r>
      <w:r w:rsidR="009F5A88" w:rsidRPr="00284236">
        <w:rPr>
          <w:rFonts w:ascii="Times New Roman" w:hAnsi="Times New Roman" w:cs="Times New Roman"/>
          <w:i/>
          <w:iCs/>
        </w:rPr>
        <w:t xml:space="preserve">The Problem </w:t>
      </w:r>
      <w:r w:rsidR="005D06D4" w:rsidRPr="00284236">
        <w:rPr>
          <w:rFonts w:ascii="Times New Roman" w:hAnsi="Times New Roman" w:cs="Times New Roman"/>
          <w:i/>
          <w:iCs/>
        </w:rPr>
        <w:t xml:space="preserve">of Geographic Market </w:t>
      </w:r>
      <w:r w:rsidR="009F5A88" w:rsidRPr="00284236">
        <w:rPr>
          <w:rFonts w:ascii="Times New Roman" w:hAnsi="Times New Roman" w:cs="Times New Roman"/>
          <w:i/>
          <w:iCs/>
        </w:rPr>
        <w:t xml:space="preserve">Delineation </w:t>
      </w:r>
      <w:r w:rsidR="005D06D4" w:rsidRPr="00284236">
        <w:rPr>
          <w:rFonts w:ascii="Times New Roman" w:hAnsi="Times New Roman" w:cs="Times New Roman"/>
          <w:i/>
          <w:iCs/>
        </w:rPr>
        <w:t>in Antimerger Suits</w:t>
      </w:r>
      <w:r w:rsidR="00E47B9D" w:rsidRPr="00284236">
        <w:rPr>
          <w:rFonts w:ascii="Times New Roman" w:hAnsi="Times New Roman" w:cs="Times New Roman"/>
        </w:rPr>
        <w:t xml:space="preserve">, </w:t>
      </w:r>
      <w:r w:rsidR="00361740">
        <w:rPr>
          <w:rFonts w:ascii="Times New Roman" w:hAnsi="Times New Roman" w:cs="Times New Roman"/>
        </w:rPr>
        <w:t xml:space="preserve">18 </w:t>
      </w:r>
      <w:r w:rsidR="00E47B9D" w:rsidRPr="00284236">
        <w:rPr>
          <w:rFonts w:ascii="Times New Roman" w:hAnsi="Times New Roman" w:cs="Times New Roman"/>
        </w:rPr>
        <w:t>J</w:t>
      </w:r>
      <w:r w:rsidR="00361740">
        <w:rPr>
          <w:rFonts w:ascii="Times New Roman" w:hAnsi="Times New Roman" w:cs="Times New Roman"/>
        </w:rPr>
        <w:t>.</w:t>
      </w:r>
      <w:r w:rsidR="00E47B9D" w:rsidRPr="00284236">
        <w:rPr>
          <w:rFonts w:ascii="Times New Roman" w:hAnsi="Times New Roman" w:cs="Times New Roman"/>
        </w:rPr>
        <w:t xml:space="preserve"> </w:t>
      </w:r>
      <w:r w:rsidR="00E47B9D" w:rsidRPr="00361740">
        <w:rPr>
          <w:rFonts w:ascii="Times New Roman" w:hAnsi="Times New Roman" w:cs="Times New Roman"/>
          <w:smallCaps/>
        </w:rPr>
        <w:t>of</w:t>
      </w:r>
      <w:r w:rsidR="00E47B9D" w:rsidRPr="00284236">
        <w:rPr>
          <w:rFonts w:ascii="Times New Roman" w:hAnsi="Times New Roman" w:cs="Times New Roman"/>
        </w:rPr>
        <w:t xml:space="preserve"> A</w:t>
      </w:r>
      <w:r w:rsidR="00E47B9D" w:rsidRPr="00361740">
        <w:rPr>
          <w:rFonts w:ascii="Times New Roman" w:hAnsi="Times New Roman" w:cs="Times New Roman"/>
          <w:smallCaps/>
        </w:rPr>
        <w:t>merican</w:t>
      </w:r>
      <w:r w:rsidR="00E47B9D" w:rsidRPr="00284236">
        <w:rPr>
          <w:rFonts w:ascii="Times New Roman" w:hAnsi="Times New Roman" w:cs="Times New Roman"/>
        </w:rPr>
        <w:t xml:space="preserve"> </w:t>
      </w:r>
      <w:r w:rsidR="00E47B9D" w:rsidRPr="00361740">
        <w:rPr>
          <w:rFonts w:ascii="Times New Roman" w:hAnsi="Times New Roman" w:cs="Times New Roman"/>
          <w:smallCaps/>
        </w:rPr>
        <w:t>and</w:t>
      </w:r>
      <w:r w:rsidR="00E47B9D" w:rsidRPr="00284236">
        <w:rPr>
          <w:rFonts w:ascii="Times New Roman" w:hAnsi="Times New Roman" w:cs="Times New Roman"/>
        </w:rPr>
        <w:t xml:space="preserve"> F</w:t>
      </w:r>
      <w:r w:rsidR="00E47B9D" w:rsidRPr="00361740">
        <w:rPr>
          <w:rFonts w:ascii="Times New Roman" w:hAnsi="Times New Roman" w:cs="Times New Roman"/>
          <w:smallCaps/>
        </w:rPr>
        <w:t>oreign</w:t>
      </w:r>
      <w:r w:rsidR="00E47B9D" w:rsidRPr="00284236">
        <w:rPr>
          <w:rFonts w:ascii="Times New Roman" w:hAnsi="Times New Roman" w:cs="Times New Roman"/>
        </w:rPr>
        <w:t xml:space="preserve"> A</w:t>
      </w:r>
      <w:r w:rsidR="00E47B9D" w:rsidRPr="00361740">
        <w:rPr>
          <w:rFonts w:ascii="Times New Roman" w:hAnsi="Times New Roman" w:cs="Times New Roman"/>
          <w:smallCaps/>
        </w:rPr>
        <w:t>ntitrust</w:t>
      </w:r>
      <w:r w:rsidR="00E47B9D" w:rsidRPr="00284236">
        <w:rPr>
          <w:rFonts w:ascii="Times New Roman" w:hAnsi="Times New Roman" w:cs="Times New Roman"/>
        </w:rPr>
        <w:t xml:space="preserve"> </w:t>
      </w:r>
      <w:r w:rsidR="00E47B9D" w:rsidRPr="00361740">
        <w:rPr>
          <w:rFonts w:ascii="Times New Roman" w:hAnsi="Times New Roman" w:cs="Times New Roman"/>
          <w:smallCaps/>
        </w:rPr>
        <w:t>and</w:t>
      </w:r>
      <w:r w:rsidR="00E47B9D" w:rsidRPr="00284236">
        <w:rPr>
          <w:rFonts w:ascii="Times New Roman" w:hAnsi="Times New Roman" w:cs="Times New Roman"/>
        </w:rPr>
        <w:t xml:space="preserve"> T</w:t>
      </w:r>
      <w:r w:rsidR="00E47B9D" w:rsidRPr="00361740">
        <w:rPr>
          <w:rFonts w:ascii="Times New Roman" w:hAnsi="Times New Roman" w:cs="Times New Roman"/>
          <w:smallCaps/>
        </w:rPr>
        <w:t>rade</w:t>
      </w:r>
      <w:r w:rsidR="00E47B9D" w:rsidRPr="00284236">
        <w:rPr>
          <w:rFonts w:ascii="Times New Roman" w:hAnsi="Times New Roman" w:cs="Times New Roman"/>
        </w:rPr>
        <w:t xml:space="preserve"> R</w:t>
      </w:r>
      <w:r w:rsidR="00E47B9D" w:rsidRPr="00361740">
        <w:rPr>
          <w:rFonts w:ascii="Times New Roman" w:hAnsi="Times New Roman" w:cs="Times New Roman"/>
          <w:smallCaps/>
        </w:rPr>
        <w:t>egulation</w:t>
      </w:r>
      <w:r w:rsidR="00E71463" w:rsidRPr="00284236">
        <w:rPr>
          <w:rFonts w:ascii="Times New Roman" w:hAnsi="Times New Roman" w:cs="Times New Roman"/>
        </w:rPr>
        <w:t>, 1, 45-81</w:t>
      </w:r>
      <w:r w:rsidR="00224CAC" w:rsidRPr="00284236">
        <w:rPr>
          <w:rFonts w:ascii="Times New Roman" w:hAnsi="Times New Roman" w:cs="Times New Roman"/>
        </w:rPr>
        <w:t xml:space="preserve"> (1973); </w:t>
      </w:r>
      <w:r w:rsidR="006E5EA3" w:rsidRPr="00284236">
        <w:rPr>
          <w:rFonts w:ascii="Times New Roman" w:hAnsi="Times New Roman" w:cs="Times New Roman"/>
        </w:rPr>
        <w:t xml:space="preserve">Dranove </w:t>
      </w:r>
      <w:r w:rsidR="00ED2DDB" w:rsidRPr="00284236">
        <w:rPr>
          <w:rFonts w:ascii="Times New Roman" w:hAnsi="Times New Roman" w:cs="Times New Roman"/>
        </w:rPr>
        <w:t xml:space="preserve">&amp; Sfekas, </w:t>
      </w:r>
      <w:r w:rsidR="00ED2DDB" w:rsidRPr="00284236">
        <w:rPr>
          <w:rFonts w:ascii="Times New Roman" w:hAnsi="Times New Roman" w:cs="Times New Roman"/>
          <w:i/>
          <w:iCs/>
        </w:rPr>
        <w:t>The Revolution in Health Care Antitrust: New Methods and Provocative Implications</w:t>
      </w:r>
      <w:r w:rsidR="00ED2DDB" w:rsidRPr="00284236">
        <w:rPr>
          <w:rFonts w:ascii="Times New Roman" w:hAnsi="Times New Roman" w:cs="Times New Roman"/>
        </w:rPr>
        <w:t>, US National Library of Medicine National Institutes of Health</w:t>
      </w:r>
      <w:r w:rsidR="00617EBE" w:rsidRPr="00284236">
        <w:rPr>
          <w:rFonts w:ascii="Times New Roman" w:hAnsi="Times New Roman" w:cs="Times New Roman"/>
        </w:rPr>
        <w:t xml:space="preserve"> (Sep. 2009), https://www.ncbi.nlm.nih.gov/pmc/articles/PMC2881459/#fn2. </w:t>
      </w:r>
    </w:p>
  </w:footnote>
  <w:footnote w:id="137">
    <w:p w14:paraId="2BCDC3A7" w14:textId="795B4A8D" w:rsidR="0011188A" w:rsidRPr="00284236" w:rsidRDefault="0011188A">
      <w:pPr>
        <w:pStyle w:val="FootnoteText"/>
        <w:rPr>
          <w:rFonts w:ascii="Times New Roman" w:hAnsi="Times New Roman" w:cs="Times New Roman"/>
        </w:rPr>
      </w:pPr>
      <w:r w:rsidRPr="00284236">
        <w:rPr>
          <w:rStyle w:val="FootnoteReference"/>
          <w:rFonts w:ascii="Times New Roman" w:hAnsi="Times New Roman" w:cs="Times New Roman"/>
        </w:rPr>
        <w:footnoteRef/>
      </w:r>
      <w:r w:rsidRPr="00284236">
        <w:rPr>
          <w:rFonts w:ascii="Times New Roman" w:hAnsi="Times New Roman" w:cs="Times New Roman"/>
        </w:rPr>
        <w:t xml:space="preserve"> </w:t>
      </w:r>
      <w:r w:rsidRPr="00284236">
        <w:rPr>
          <w:rFonts w:ascii="Times New Roman" w:hAnsi="Times New Roman" w:cs="Times New Roman"/>
          <w:i/>
          <w:iCs/>
        </w:rPr>
        <w:t>See</w:t>
      </w:r>
      <w:r w:rsidRPr="00284236">
        <w:rPr>
          <w:rFonts w:ascii="Times New Roman" w:hAnsi="Times New Roman" w:cs="Times New Roman"/>
        </w:rPr>
        <w:t xml:space="preserve"> Dranove &amp; Sfekas, </w:t>
      </w:r>
      <w:r w:rsidRPr="00284236">
        <w:rPr>
          <w:rFonts w:ascii="Times New Roman" w:hAnsi="Times New Roman" w:cs="Times New Roman"/>
          <w:i/>
          <w:iCs/>
        </w:rPr>
        <w:t>supra</w:t>
      </w:r>
      <w:r w:rsidRPr="00284236">
        <w:rPr>
          <w:rFonts w:ascii="Times New Roman" w:hAnsi="Times New Roman" w:cs="Times New Roman"/>
        </w:rPr>
        <w:t xml:space="preserve"> note 136.</w:t>
      </w:r>
    </w:p>
  </w:footnote>
  <w:footnote w:id="138">
    <w:p w14:paraId="3BEDEC6F" w14:textId="25294357" w:rsidR="001740D4" w:rsidRDefault="001740D4">
      <w:pPr>
        <w:pStyle w:val="FootnoteText"/>
      </w:pPr>
      <w:r>
        <w:rPr>
          <w:rStyle w:val="FootnoteReference"/>
        </w:rPr>
        <w:footnoteRef/>
      </w:r>
      <w:r>
        <w:t xml:space="preserve"> </w:t>
      </w:r>
      <w:r w:rsidRPr="001740D4">
        <w:rPr>
          <w:rFonts w:ascii="Times New Roman" w:hAnsi="Times New Roman" w:cs="Times New Roman"/>
          <w:i/>
          <w:iCs/>
        </w:rPr>
        <w:t>Id.</w:t>
      </w:r>
    </w:p>
  </w:footnote>
  <w:footnote w:id="139">
    <w:p w14:paraId="2E12DF27" w14:textId="1D9B74EA" w:rsidR="00284236" w:rsidRDefault="00284236">
      <w:pPr>
        <w:pStyle w:val="FootnoteText"/>
      </w:pPr>
      <w:r>
        <w:rPr>
          <w:rStyle w:val="FootnoteReference"/>
        </w:rPr>
        <w:footnoteRef/>
      </w:r>
      <w:r>
        <w:t xml:space="preserve"> </w:t>
      </w:r>
      <w:r w:rsidRPr="001740D4">
        <w:rPr>
          <w:rFonts w:ascii="Times New Roman" w:hAnsi="Times New Roman" w:cs="Times New Roman"/>
          <w:i/>
          <w:iCs/>
        </w:rPr>
        <w:t>Id.</w:t>
      </w:r>
    </w:p>
  </w:footnote>
  <w:footnote w:id="140">
    <w:p w14:paraId="23C03C23" w14:textId="4B8199B7" w:rsidR="0025190C" w:rsidRDefault="0025190C">
      <w:pPr>
        <w:pStyle w:val="FootnoteText"/>
      </w:pPr>
      <w:r>
        <w:rPr>
          <w:rStyle w:val="FootnoteReference"/>
        </w:rPr>
        <w:footnoteRef/>
      </w:r>
      <w:r>
        <w:t xml:space="preserve"> </w:t>
      </w:r>
      <w:r w:rsidRPr="001740D4">
        <w:rPr>
          <w:rFonts w:ascii="Times New Roman" w:hAnsi="Times New Roman" w:cs="Times New Roman"/>
          <w:i/>
          <w:iCs/>
        </w:rPr>
        <w:t>Id.</w:t>
      </w:r>
    </w:p>
  </w:footnote>
  <w:footnote w:id="141">
    <w:p w14:paraId="726207EA" w14:textId="6223AB03" w:rsidR="008F7FCE" w:rsidRPr="004C7030" w:rsidRDefault="008F7FCE">
      <w:pPr>
        <w:pStyle w:val="FootnoteText"/>
      </w:pPr>
      <w:r>
        <w:rPr>
          <w:rStyle w:val="FootnoteReference"/>
        </w:rPr>
        <w:footnoteRef/>
      </w:r>
      <w:r>
        <w:t xml:space="preserve"> </w:t>
      </w:r>
      <w:r w:rsidRPr="00E87623">
        <w:rPr>
          <w:rFonts w:ascii="Times New Roman" w:hAnsi="Times New Roman" w:cs="Times New Roman"/>
          <w:i/>
          <w:iCs/>
        </w:rPr>
        <w:t>See</w:t>
      </w:r>
      <w:r w:rsidRPr="004C7030">
        <w:rPr>
          <w:rFonts w:ascii="Times New Roman" w:hAnsi="Times New Roman" w:cs="Times New Roman"/>
        </w:rPr>
        <w:t xml:space="preserve"> </w:t>
      </w:r>
      <w:r w:rsidR="004C7030" w:rsidRPr="004C7030">
        <w:rPr>
          <w:rFonts w:ascii="Times New Roman" w:hAnsi="Times New Roman" w:cs="Times New Roman"/>
          <w:i/>
          <w:iCs/>
        </w:rPr>
        <w:t>Rockford Memorial Hospital Corp.</w:t>
      </w:r>
      <w:r w:rsidR="004C7030" w:rsidRPr="004C7030">
        <w:rPr>
          <w:rFonts w:ascii="Times New Roman" w:hAnsi="Times New Roman" w:cs="Times New Roman"/>
        </w:rPr>
        <w:t xml:space="preserve">, </w:t>
      </w:r>
      <w:r w:rsidR="004C7030" w:rsidRPr="004C7030">
        <w:rPr>
          <w:rFonts w:ascii="Times New Roman" w:hAnsi="Times New Roman" w:cs="Times New Roman"/>
          <w:i/>
          <w:iCs/>
        </w:rPr>
        <w:t>supra</w:t>
      </w:r>
      <w:r w:rsidR="004C7030" w:rsidRPr="004C7030">
        <w:rPr>
          <w:rFonts w:ascii="Times New Roman" w:hAnsi="Times New Roman" w:cs="Times New Roman"/>
        </w:rPr>
        <w:t xml:space="preserve"> note 135, at 1284-1285.</w:t>
      </w:r>
    </w:p>
  </w:footnote>
  <w:footnote w:id="142">
    <w:p w14:paraId="34E1D907" w14:textId="5F4B8954" w:rsidR="00FF525C" w:rsidRDefault="00FF525C">
      <w:pPr>
        <w:pStyle w:val="FootnoteText"/>
      </w:pPr>
      <w:r>
        <w:rPr>
          <w:rStyle w:val="FootnoteReference"/>
        </w:rPr>
        <w:footnoteRef/>
      </w:r>
      <w:r>
        <w:t xml:space="preserve"> </w:t>
      </w:r>
      <w:r w:rsidR="00EA3B57" w:rsidRPr="00284236">
        <w:rPr>
          <w:rFonts w:ascii="Times New Roman" w:hAnsi="Times New Roman" w:cs="Times New Roman"/>
          <w:i/>
          <w:iCs/>
        </w:rPr>
        <w:t>See</w:t>
      </w:r>
      <w:r w:rsidR="00EA3B57" w:rsidRPr="00284236">
        <w:rPr>
          <w:rFonts w:ascii="Times New Roman" w:hAnsi="Times New Roman" w:cs="Times New Roman"/>
        </w:rPr>
        <w:t xml:space="preserve"> Dranove &amp; Sfekas, </w:t>
      </w:r>
      <w:r w:rsidR="00EA3B57" w:rsidRPr="00284236">
        <w:rPr>
          <w:rFonts w:ascii="Times New Roman" w:hAnsi="Times New Roman" w:cs="Times New Roman"/>
          <w:i/>
          <w:iCs/>
        </w:rPr>
        <w:t>supra</w:t>
      </w:r>
      <w:r w:rsidR="00EA3B57" w:rsidRPr="00284236">
        <w:rPr>
          <w:rFonts w:ascii="Times New Roman" w:hAnsi="Times New Roman" w:cs="Times New Roman"/>
        </w:rPr>
        <w:t xml:space="preserve"> note 136.</w:t>
      </w:r>
    </w:p>
  </w:footnote>
  <w:footnote w:id="143">
    <w:p w14:paraId="4C50BCCA" w14:textId="45FF2D48" w:rsidR="00A95288" w:rsidRDefault="00A95288">
      <w:pPr>
        <w:pStyle w:val="FootnoteText"/>
      </w:pPr>
      <w:r>
        <w:rPr>
          <w:rStyle w:val="FootnoteReference"/>
        </w:rPr>
        <w:footnoteRef/>
      </w:r>
      <w:r>
        <w:t xml:space="preserve"> </w:t>
      </w:r>
      <w:r w:rsidRPr="00BF39F6">
        <w:rPr>
          <w:rFonts w:ascii="Times New Roman" w:hAnsi="Times New Roman" w:cs="Times New Roman"/>
          <w:i/>
          <w:iCs/>
        </w:rPr>
        <w:t>Id</w:t>
      </w:r>
      <w:r w:rsidR="00BF39F6" w:rsidRPr="00BF39F6">
        <w:rPr>
          <w:rFonts w:ascii="Times New Roman" w:hAnsi="Times New Roman" w:cs="Times New Roman"/>
          <w:i/>
          <w:iCs/>
        </w:rPr>
        <w:t>.</w:t>
      </w:r>
    </w:p>
  </w:footnote>
  <w:footnote w:id="144">
    <w:p w14:paraId="1F326412" w14:textId="1FD04C19" w:rsidR="005F1FEF" w:rsidRPr="00AD3B5B" w:rsidRDefault="005F1FEF">
      <w:pPr>
        <w:pStyle w:val="FootnoteText"/>
        <w:rPr>
          <w:rFonts w:ascii="Times New Roman" w:hAnsi="Times New Roman" w:cs="Times New Roman"/>
        </w:rPr>
      </w:pPr>
      <w:r>
        <w:rPr>
          <w:rStyle w:val="FootnoteReference"/>
        </w:rPr>
        <w:footnoteRef/>
      </w:r>
      <w:r>
        <w:t xml:space="preserve"> </w:t>
      </w:r>
      <w:r w:rsidR="009C11C6" w:rsidRPr="00AD3B5B">
        <w:rPr>
          <w:rFonts w:ascii="Times New Roman" w:hAnsi="Times New Roman" w:cs="Times New Roman"/>
          <w:i/>
          <w:iCs/>
        </w:rPr>
        <w:t>U.S. v. Long Island Jewish Medical Center</w:t>
      </w:r>
      <w:r w:rsidR="00484E5E" w:rsidRPr="00AD3B5B">
        <w:rPr>
          <w:rFonts w:ascii="Times New Roman" w:hAnsi="Times New Roman" w:cs="Times New Roman"/>
          <w:i/>
          <w:iCs/>
        </w:rPr>
        <w:t xml:space="preserve">, </w:t>
      </w:r>
      <w:r w:rsidR="00484E5E" w:rsidRPr="00AD3B5B">
        <w:rPr>
          <w:rFonts w:ascii="Times New Roman" w:hAnsi="Times New Roman" w:cs="Times New Roman"/>
        </w:rPr>
        <w:t>983 F.</w:t>
      </w:r>
      <w:r w:rsidR="00903383" w:rsidRPr="00AD3B5B">
        <w:rPr>
          <w:rFonts w:ascii="Times New Roman" w:hAnsi="Times New Roman" w:cs="Times New Roman"/>
        </w:rPr>
        <w:t xml:space="preserve"> </w:t>
      </w:r>
      <w:r w:rsidR="00484E5E" w:rsidRPr="00AD3B5B">
        <w:rPr>
          <w:rFonts w:ascii="Times New Roman" w:hAnsi="Times New Roman" w:cs="Times New Roman"/>
        </w:rPr>
        <w:t>Supp</w:t>
      </w:r>
      <w:r w:rsidR="00BB52D6" w:rsidRPr="00AD3B5B">
        <w:rPr>
          <w:rFonts w:ascii="Times New Roman" w:hAnsi="Times New Roman" w:cs="Times New Roman"/>
        </w:rPr>
        <w:t xml:space="preserve"> 121</w:t>
      </w:r>
      <w:r w:rsidR="00E22A90" w:rsidRPr="00AD3B5B">
        <w:rPr>
          <w:rFonts w:ascii="Times New Roman" w:hAnsi="Times New Roman" w:cs="Times New Roman"/>
        </w:rPr>
        <w:t xml:space="preserve"> (E.D.N.Y.</w:t>
      </w:r>
      <w:r w:rsidR="00AC2163" w:rsidRPr="00AD3B5B">
        <w:rPr>
          <w:rFonts w:ascii="Times New Roman" w:hAnsi="Times New Roman" w:cs="Times New Roman"/>
        </w:rPr>
        <w:t xml:space="preserve"> 1997). </w:t>
      </w:r>
      <w:r w:rsidR="006F51BD" w:rsidRPr="00AD3B5B">
        <w:rPr>
          <w:rFonts w:ascii="Times New Roman" w:hAnsi="Times New Roman" w:cs="Times New Roman"/>
        </w:rPr>
        <w:t>(District Court holding</w:t>
      </w:r>
      <w:r w:rsidR="004A1F2A" w:rsidRPr="00AD3B5B">
        <w:rPr>
          <w:rFonts w:ascii="Times New Roman" w:hAnsi="Times New Roman" w:cs="Times New Roman"/>
        </w:rPr>
        <w:t xml:space="preserve">, </w:t>
      </w:r>
      <w:r w:rsidR="004A1F2A" w:rsidRPr="00A048E9">
        <w:rPr>
          <w:rFonts w:ascii="Times New Roman" w:hAnsi="Times New Roman" w:cs="Times New Roman"/>
          <w:i/>
          <w:iCs/>
        </w:rPr>
        <w:t>inter alia</w:t>
      </w:r>
      <w:r w:rsidR="004A1F2A" w:rsidRPr="00AD3B5B">
        <w:rPr>
          <w:rFonts w:ascii="Times New Roman" w:hAnsi="Times New Roman" w:cs="Times New Roman"/>
        </w:rPr>
        <w:t xml:space="preserve">, </w:t>
      </w:r>
      <w:r w:rsidR="00724F93" w:rsidRPr="00AD3B5B">
        <w:rPr>
          <w:rFonts w:ascii="Times New Roman" w:hAnsi="Times New Roman" w:cs="Times New Roman"/>
        </w:rPr>
        <w:t>that</w:t>
      </w:r>
      <w:r w:rsidR="004A1F2A" w:rsidRPr="00AD3B5B">
        <w:rPr>
          <w:rFonts w:ascii="Times New Roman" w:hAnsi="Times New Roman" w:cs="Times New Roman"/>
        </w:rPr>
        <w:t xml:space="preserve"> there </w:t>
      </w:r>
      <w:r w:rsidR="00724F93" w:rsidRPr="00AD3B5B">
        <w:rPr>
          <w:rFonts w:ascii="Times New Roman" w:hAnsi="Times New Roman" w:cs="Times New Roman"/>
        </w:rPr>
        <w:t>we</w:t>
      </w:r>
      <w:r w:rsidR="004A1F2A" w:rsidRPr="00AD3B5B">
        <w:rPr>
          <w:rFonts w:ascii="Times New Roman" w:hAnsi="Times New Roman" w:cs="Times New Roman"/>
        </w:rPr>
        <w:t>re other medical care facilities entering the relevant geographic market resulting from the increasing movement of Manhattan hospitals into Long Island.</w:t>
      </w:r>
      <w:r w:rsidR="00751C56" w:rsidRPr="00AD3B5B">
        <w:rPr>
          <w:rFonts w:ascii="Times New Roman" w:hAnsi="Times New Roman" w:cs="Times New Roman"/>
        </w:rPr>
        <w:t xml:space="preserve">). </w:t>
      </w:r>
      <w:r w:rsidR="00903383" w:rsidRPr="00AD3B5B">
        <w:rPr>
          <w:rFonts w:ascii="Times New Roman" w:hAnsi="Times New Roman" w:cs="Times New Roman"/>
        </w:rPr>
        <w:t xml:space="preserve"> </w:t>
      </w:r>
    </w:p>
  </w:footnote>
  <w:footnote w:id="145">
    <w:p w14:paraId="3BF03834" w14:textId="77777777" w:rsidR="00AD3B5B" w:rsidRDefault="00AD3B5B" w:rsidP="00AD3B5B">
      <w:pPr>
        <w:pStyle w:val="FootnoteText"/>
      </w:pPr>
      <w:r>
        <w:rPr>
          <w:rStyle w:val="FootnoteReference"/>
        </w:rPr>
        <w:footnoteRef/>
      </w:r>
      <w:r>
        <w:t xml:space="preserve"> </w:t>
      </w:r>
      <w:r w:rsidRPr="00AA44DE">
        <w:rPr>
          <w:rFonts w:ascii="Times New Roman" w:hAnsi="Times New Roman" w:cs="Times New Roman"/>
          <w:i/>
          <w:iCs/>
        </w:rPr>
        <w:t>See</w:t>
      </w:r>
      <w:r w:rsidRPr="00AA44DE">
        <w:rPr>
          <w:rFonts w:ascii="Times New Roman" w:hAnsi="Times New Roman" w:cs="Times New Roman"/>
        </w:rPr>
        <w:t xml:space="preserve"> Greaney, </w:t>
      </w:r>
      <w:r w:rsidRPr="00AA44DE">
        <w:rPr>
          <w:rFonts w:ascii="Times New Roman" w:hAnsi="Times New Roman" w:cs="Times New Roman"/>
          <w:i/>
          <w:iCs/>
        </w:rPr>
        <w:t>supra</w:t>
      </w:r>
      <w:r w:rsidRPr="00AA44DE">
        <w:rPr>
          <w:rFonts w:ascii="Times New Roman" w:hAnsi="Times New Roman" w:cs="Times New Roman"/>
        </w:rPr>
        <w:t xml:space="preserve"> note 93.</w:t>
      </w:r>
    </w:p>
    <w:p w14:paraId="7F740BAE" w14:textId="09A8EE7F" w:rsidR="00AD3B5B" w:rsidRDefault="00AD3B5B">
      <w:pPr>
        <w:pStyle w:val="FootnoteText"/>
      </w:pPr>
    </w:p>
  </w:footnote>
  <w:footnote w:id="146">
    <w:p w14:paraId="4FE46949" w14:textId="6BC9559D" w:rsidR="00B146BC" w:rsidRDefault="00B146BC">
      <w:pPr>
        <w:pStyle w:val="FootnoteText"/>
      </w:pPr>
      <w:r>
        <w:rPr>
          <w:rStyle w:val="FootnoteReference"/>
        </w:rPr>
        <w:footnoteRef/>
      </w:r>
      <w:r>
        <w:t xml:space="preserve"> </w:t>
      </w:r>
      <w:r w:rsidRPr="000F2F88">
        <w:rPr>
          <w:rFonts w:ascii="Times New Roman" w:hAnsi="Times New Roman" w:cs="Times New Roman"/>
          <w:i/>
          <w:iCs/>
        </w:rPr>
        <w:t>See</w:t>
      </w:r>
      <w:r w:rsidRPr="000F2F88">
        <w:rPr>
          <w:rFonts w:ascii="Times New Roman" w:hAnsi="Times New Roman" w:cs="Times New Roman"/>
        </w:rPr>
        <w:t xml:space="preserve"> Leibenluft, </w:t>
      </w:r>
      <w:r w:rsidRPr="000F2F88">
        <w:rPr>
          <w:rFonts w:ascii="Times New Roman" w:hAnsi="Times New Roman" w:cs="Times New Roman"/>
          <w:i/>
          <w:iCs/>
        </w:rPr>
        <w:t>supra</w:t>
      </w:r>
      <w:r w:rsidRPr="000F2F88">
        <w:rPr>
          <w:rFonts w:ascii="Times New Roman" w:hAnsi="Times New Roman" w:cs="Times New Roman"/>
        </w:rPr>
        <w:t xml:space="preserve"> note 94, at 848.</w:t>
      </w:r>
    </w:p>
  </w:footnote>
  <w:footnote w:id="147">
    <w:p w14:paraId="32F07B84" w14:textId="6DA80254" w:rsidR="008F1A37" w:rsidRDefault="008F1A37">
      <w:pPr>
        <w:pStyle w:val="FootnoteText"/>
      </w:pPr>
      <w:r>
        <w:rPr>
          <w:rStyle w:val="FootnoteReference"/>
        </w:rPr>
        <w:footnoteRef/>
      </w:r>
      <w:r>
        <w:t xml:space="preserve"> </w:t>
      </w:r>
      <w:r w:rsidR="00B146BC">
        <w:rPr>
          <w:rFonts w:ascii="Times New Roman" w:hAnsi="Times New Roman" w:cs="Times New Roman"/>
          <w:i/>
          <w:iCs/>
        </w:rPr>
        <w:t>Id.</w:t>
      </w:r>
      <w:r w:rsidR="00C614DC">
        <w:t xml:space="preserve"> </w:t>
      </w:r>
    </w:p>
  </w:footnote>
  <w:footnote w:id="148">
    <w:p w14:paraId="43F80009" w14:textId="5BE84D6C" w:rsidR="003A7A23" w:rsidRDefault="003A7A23">
      <w:pPr>
        <w:pStyle w:val="FootnoteText"/>
      </w:pPr>
      <w:r>
        <w:rPr>
          <w:rStyle w:val="FootnoteReference"/>
        </w:rPr>
        <w:footnoteRef/>
      </w:r>
      <w:r>
        <w:t xml:space="preserve"> </w:t>
      </w:r>
      <w:r w:rsidR="00EA477B">
        <w:rPr>
          <w:rFonts w:ascii="Times New Roman" w:hAnsi="Times New Roman" w:cs="Times New Roman"/>
          <w:i/>
          <w:iCs/>
        </w:rPr>
        <w:t>Id.</w:t>
      </w:r>
    </w:p>
  </w:footnote>
  <w:footnote w:id="149">
    <w:p w14:paraId="354783BB" w14:textId="37596C70" w:rsidR="00915CF4" w:rsidRDefault="00915CF4">
      <w:pPr>
        <w:pStyle w:val="FootnoteText"/>
      </w:pPr>
      <w:r>
        <w:rPr>
          <w:rStyle w:val="FootnoteReference"/>
        </w:rPr>
        <w:footnoteRef/>
      </w:r>
      <w:r>
        <w:t xml:space="preserve"> </w:t>
      </w:r>
      <w:r w:rsidRPr="00E1678A">
        <w:rPr>
          <w:rFonts w:ascii="Times New Roman" w:hAnsi="Times New Roman" w:cs="Times New Roman"/>
          <w:i/>
          <w:iCs/>
        </w:rPr>
        <w:t>See</w:t>
      </w:r>
      <w:r w:rsidRPr="00E1678A">
        <w:rPr>
          <w:rFonts w:ascii="Times New Roman" w:hAnsi="Times New Roman" w:cs="Times New Roman"/>
        </w:rPr>
        <w:t xml:space="preserve"> </w:t>
      </w:r>
      <w:r w:rsidR="000A77A9" w:rsidRPr="00E1678A">
        <w:rPr>
          <w:rFonts w:ascii="Times New Roman" w:hAnsi="Times New Roman" w:cs="Times New Roman"/>
        </w:rPr>
        <w:t xml:space="preserve">Medicare for </w:t>
      </w:r>
      <w:r w:rsidR="000E4C52" w:rsidRPr="00E1678A">
        <w:rPr>
          <w:rFonts w:ascii="Times New Roman" w:hAnsi="Times New Roman" w:cs="Times New Roman"/>
        </w:rPr>
        <w:t>A</w:t>
      </w:r>
      <w:r w:rsidR="000A77A9" w:rsidRPr="00E1678A">
        <w:rPr>
          <w:rFonts w:ascii="Times New Roman" w:hAnsi="Times New Roman" w:cs="Times New Roman"/>
        </w:rPr>
        <w:t>ll Act of 2019</w:t>
      </w:r>
      <w:r w:rsidR="000E4C52" w:rsidRPr="00E1678A">
        <w:rPr>
          <w:rFonts w:ascii="Times New Roman" w:hAnsi="Times New Roman" w:cs="Times New Roman"/>
        </w:rPr>
        <w:t>, S. 1129</w:t>
      </w:r>
      <w:r w:rsidR="00F45C5B" w:rsidRPr="00E1678A">
        <w:rPr>
          <w:rFonts w:ascii="Times New Roman" w:hAnsi="Times New Roman" w:cs="Times New Roman"/>
        </w:rPr>
        <w:t xml:space="preserve">, 116th Cong. </w:t>
      </w:r>
      <w:r w:rsidR="001276C6" w:rsidRPr="00E1678A">
        <w:rPr>
          <w:rFonts w:ascii="Times New Roman" w:hAnsi="Times New Roman" w:cs="Times New Roman"/>
        </w:rPr>
        <w:t>§ 107</w:t>
      </w:r>
      <w:r w:rsidR="00A95D4D" w:rsidRPr="00E1678A">
        <w:rPr>
          <w:rFonts w:ascii="Times New Roman" w:hAnsi="Times New Roman" w:cs="Times New Roman"/>
        </w:rPr>
        <w:t>(a) (2019).</w:t>
      </w:r>
    </w:p>
  </w:footnote>
  <w:footnote w:id="150">
    <w:p w14:paraId="7FDE3E05" w14:textId="4AD8913D" w:rsidR="00BB0E14" w:rsidRPr="009A4F39" w:rsidRDefault="00BB0E14">
      <w:pPr>
        <w:pStyle w:val="FootnoteText"/>
        <w:rPr>
          <w:rFonts w:ascii="Times New Roman" w:hAnsi="Times New Roman" w:cs="Times New Roman"/>
        </w:rPr>
      </w:pPr>
      <w:r>
        <w:rPr>
          <w:rStyle w:val="FootnoteReference"/>
        </w:rPr>
        <w:footnoteRef/>
      </w:r>
      <w:r>
        <w:t xml:space="preserve"> </w:t>
      </w:r>
      <w:r w:rsidR="008D348E" w:rsidRPr="009A4F39">
        <w:rPr>
          <w:rFonts w:ascii="Times New Roman" w:hAnsi="Times New Roman" w:cs="Times New Roman"/>
        </w:rPr>
        <w:t xml:space="preserve">Joe Biden for President, </w:t>
      </w:r>
      <w:r w:rsidR="008D348E" w:rsidRPr="009A4F39">
        <w:rPr>
          <w:rFonts w:ascii="Times New Roman" w:hAnsi="Times New Roman" w:cs="Times New Roman"/>
          <w:i/>
          <w:iCs/>
        </w:rPr>
        <w:t>Health Care</w:t>
      </w:r>
      <w:r w:rsidR="001970AE" w:rsidRPr="009A4F39">
        <w:rPr>
          <w:rFonts w:ascii="Times New Roman" w:hAnsi="Times New Roman" w:cs="Times New Roman"/>
        </w:rPr>
        <w:t xml:space="preserve"> </w:t>
      </w:r>
      <w:r w:rsidR="004C1F2D" w:rsidRPr="009A4F39">
        <w:rPr>
          <w:rFonts w:ascii="Times New Roman" w:hAnsi="Times New Roman" w:cs="Times New Roman"/>
        </w:rPr>
        <w:t>(2020)</w:t>
      </w:r>
      <w:r w:rsidR="0055485E" w:rsidRPr="009A4F39">
        <w:rPr>
          <w:rFonts w:ascii="Times New Roman" w:hAnsi="Times New Roman" w:cs="Times New Roman"/>
        </w:rPr>
        <w:t>, https://joebiden.com/healthcare/.</w:t>
      </w:r>
    </w:p>
  </w:footnote>
  <w:footnote w:id="151">
    <w:p w14:paraId="371EAB15" w14:textId="2A5D29EE" w:rsidR="00860D0A" w:rsidRPr="009A4F39" w:rsidRDefault="00860D0A">
      <w:pPr>
        <w:pStyle w:val="FootnoteText"/>
        <w:rPr>
          <w:rFonts w:ascii="Times New Roman" w:hAnsi="Times New Roman" w:cs="Times New Roman"/>
        </w:rPr>
      </w:pPr>
      <w:r w:rsidRPr="009A4F39">
        <w:rPr>
          <w:rStyle w:val="FootnoteReference"/>
          <w:rFonts w:ascii="Times New Roman" w:hAnsi="Times New Roman" w:cs="Times New Roman"/>
        </w:rPr>
        <w:footnoteRef/>
      </w:r>
      <w:r w:rsidRPr="009A4F39">
        <w:rPr>
          <w:rFonts w:ascii="Times New Roman" w:hAnsi="Times New Roman" w:cs="Times New Roman"/>
        </w:rPr>
        <w:t xml:space="preserve"> </w:t>
      </w:r>
      <w:r w:rsidR="00FE6151" w:rsidRPr="009A4F39">
        <w:rPr>
          <w:rFonts w:ascii="Times New Roman" w:hAnsi="Times New Roman" w:cs="Times New Roman"/>
        </w:rPr>
        <w:t xml:space="preserve">Avik Roy, </w:t>
      </w:r>
      <w:r w:rsidR="00FE6151" w:rsidRPr="009A4F39">
        <w:rPr>
          <w:rFonts w:ascii="Times New Roman" w:hAnsi="Times New Roman" w:cs="Times New Roman"/>
          <w:i/>
          <w:iCs/>
        </w:rPr>
        <w:t>FREOPP Leadership: Avik Roy</w:t>
      </w:r>
      <w:r w:rsidR="00FE6151" w:rsidRPr="009A4F39">
        <w:rPr>
          <w:rFonts w:ascii="Times New Roman" w:hAnsi="Times New Roman" w:cs="Times New Roman"/>
        </w:rPr>
        <w:t xml:space="preserve"> (Sep. 12, 2016), </w:t>
      </w:r>
      <w:r w:rsidR="00556418" w:rsidRPr="009A4F39">
        <w:rPr>
          <w:rFonts w:ascii="Times New Roman" w:hAnsi="Times New Roman" w:cs="Times New Roman"/>
        </w:rPr>
        <w:t xml:space="preserve">https://freopp.org/the-freopp-founders-avik-roy-53719dfcaf05. </w:t>
      </w:r>
    </w:p>
  </w:footnote>
  <w:footnote w:id="152">
    <w:p w14:paraId="44C9BC59" w14:textId="056E0CEE" w:rsidR="006F5BE4" w:rsidRPr="001F40CD" w:rsidRDefault="006F5BE4">
      <w:pPr>
        <w:pStyle w:val="FootnoteText"/>
      </w:pPr>
      <w:r>
        <w:rPr>
          <w:rStyle w:val="FootnoteReference"/>
        </w:rPr>
        <w:footnoteRef/>
      </w:r>
      <w:r>
        <w:t xml:space="preserve"> </w:t>
      </w:r>
      <w:r w:rsidR="001F40CD" w:rsidRPr="007B028D">
        <w:rPr>
          <w:rFonts w:ascii="Times New Roman" w:hAnsi="Times New Roman" w:cs="Times New Roman"/>
        </w:rPr>
        <w:t xml:space="preserve">Avik Roy, </w:t>
      </w:r>
      <w:r w:rsidR="001F40CD" w:rsidRPr="007B028D">
        <w:rPr>
          <w:rFonts w:ascii="Times New Roman" w:hAnsi="Times New Roman" w:cs="Times New Roman"/>
          <w:i/>
          <w:iCs/>
        </w:rPr>
        <w:t>Affordable Hospital Care Through Competition and Price Transparency</w:t>
      </w:r>
      <w:r w:rsidR="001F40CD" w:rsidRPr="007B028D">
        <w:rPr>
          <w:rFonts w:ascii="Times New Roman" w:hAnsi="Times New Roman" w:cs="Times New Roman"/>
        </w:rPr>
        <w:t xml:space="preserve"> </w:t>
      </w:r>
      <w:r w:rsidR="007B028D" w:rsidRPr="007B028D">
        <w:rPr>
          <w:rFonts w:ascii="Times New Roman" w:hAnsi="Times New Roman" w:cs="Times New Roman"/>
        </w:rPr>
        <w:t>(Jan. 31, 2020), https://freopp.org/affordable-hospital-care-through-competition-and-price-transparency-765714c69ed8.</w:t>
      </w:r>
    </w:p>
  </w:footnote>
  <w:footnote w:id="153">
    <w:p w14:paraId="352C371B" w14:textId="1B59E604" w:rsidR="00A503CD" w:rsidRPr="0083656D" w:rsidRDefault="00A503CD">
      <w:pPr>
        <w:pStyle w:val="FootnoteText"/>
      </w:pPr>
      <w:r>
        <w:rPr>
          <w:rStyle w:val="FootnoteReference"/>
        </w:rPr>
        <w:footnoteRef/>
      </w:r>
      <w:r>
        <w:t xml:space="preserve"> </w:t>
      </w:r>
      <w:r w:rsidR="0083656D" w:rsidRPr="00A62CEC">
        <w:rPr>
          <w:rFonts w:ascii="Times New Roman" w:hAnsi="Times New Roman" w:cs="Times New Roman"/>
        </w:rPr>
        <w:t xml:space="preserve">Avik Roy, </w:t>
      </w:r>
      <w:r w:rsidR="0083656D" w:rsidRPr="00A62CEC">
        <w:rPr>
          <w:rFonts w:ascii="Times New Roman" w:hAnsi="Times New Roman" w:cs="Times New Roman"/>
          <w:i/>
          <w:iCs/>
        </w:rPr>
        <w:t>Medicare Advantage: A Platform for Affordable Health Reform</w:t>
      </w:r>
      <w:r w:rsidR="00A62CEC" w:rsidRPr="00A62CEC">
        <w:rPr>
          <w:rFonts w:ascii="Times New Roman" w:hAnsi="Times New Roman" w:cs="Times New Roman"/>
        </w:rPr>
        <w:t xml:space="preserve"> (Apr. 18, 2019), </w:t>
      </w:r>
      <w:r w:rsidR="0017432A" w:rsidRPr="0017432A">
        <w:rPr>
          <w:rFonts w:ascii="Times New Roman" w:hAnsi="Times New Roman" w:cs="Times New Roman"/>
        </w:rPr>
        <w:t>https://freopp.org/medicare-advantage-a-platform-for-affordable-health-reform-fbe31bf444f3</w:t>
      </w:r>
      <w:r w:rsidR="0017432A">
        <w:rPr>
          <w:rFonts w:ascii="Times New Roman" w:hAnsi="Times New Roman" w:cs="Times New Roman"/>
        </w:rPr>
        <w:t xml:space="preserve">. </w:t>
      </w:r>
    </w:p>
  </w:footnote>
  <w:footnote w:id="154">
    <w:p w14:paraId="435F88F9" w14:textId="72978448" w:rsidR="00AE69E8" w:rsidRDefault="00AE69E8">
      <w:pPr>
        <w:pStyle w:val="FootnoteText"/>
      </w:pPr>
      <w:r>
        <w:rPr>
          <w:rStyle w:val="FootnoteReference"/>
        </w:rPr>
        <w:footnoteRef/>
      </w:r>
      <w:r>
        <w:t xml:space="preserve"> </w:t>
      </w:r>
      <w:r w:rsidRPr="003B42C6">
        <w:rPr>
          <w:rFonts w:ascii="Times New Roman" w:hAnsi="Times New Roman" w:cs="Times New Roman"/>
        </w:rPr>
        <w:t xml:space="preserve">W. Ryan Neuhofel, A Radically Patient-Centered Proposal to Fix Health Care in America (Jul. 26, 2017), </w:t>
      </w:r>
      <w:r w:rsidR="0017432A" w:rsidRPr="003B42C6">
        <w:rPr>
          <w:rFonts w:ascii="Times New Roman" w:hAnsi="Times New Roman" w:cs="Times New Roman"/>
        </w:rPr>
        <w:t>M</w:t>
      </w:r>
      <w:r w:rsidR="0017432A" w:rsidRPr="00361740">
        <w:rPr>
          <w:rFonts w:ascii="Times New Roman" w:hAnsi="Times New Roman" w:cs="Times New Roman"/>
          <w:smallCaps/>
        </w:rPr>
        <w:t>edium</w:t>
      </w:r>
      <w:r w:rsidR="0017432A" w:rsidRPr="003B42C6">
        <w:rPr>
          <w:rFonts w:ascii="Times New Roman" w:hAnsi="Times New Roman" w:cs="Times New Roman"/>
        </w:rPr>
        <w:t>, https://medium.com/@NeuCare/a-radically-patient-centered-proposal-to-fix-health-care-in-america-8e4df6130b4a.</w:t>
      </w:r>
      <w:r w:rsidR="0017432A">
        <w:t xml:space="preserve"> </w:t>
      </w:r>
    </w:p>
  </w:footnote>
  <w:footnote w:id="155">
    <w:p w14:paraId="484D6161" w14:textId="76EAC565" w:rsidR="00844C4A" w:rsidRPr="00536DB6" w:rsidRDefault="00844C4A">
      <w:pPr>
        <w:pStyle w:val="FootnoteText"/>
      </w:pPr>
      <w:r>
        <w:rPr>
          <w:rStyle w:val="FootnoteReference"/>
        </w:rPr>
        <w:footnoteRef/>
      </w:r>
      <w:r>
        <w:t xml:space="preserve"> </w:t>
      </w:r>
      <w:r w:rsidR="00764BA0" w:rsidRPr="008A0200">
        <w:rPr>
          <w:rFonts w:ascii="Times New Roman" w:hAnsi="Times New Roman" w:cs="Times New Roman"/>
        </w:rPr>
        <w:t xml:space="preserve">American Academy of Family Physicians, </w:t>
      </w:r>
      <w:r w:rsidR="00536DB6" w:rsidRPr="008A0200">
        <w:rPr>
          <w:rFonts w:ascii="Times New Roman" w:hAnsi="Times New Roman" w:cs="Times New Roman"/>
          <w:i/>
          <w:iCs/>
        </w:rPr>
        <w:t>Direct Primary Care</w:t>
      </w:r>
      <w:r w:rsidR="00536DB6" w:rsidRPr="008A0200">
        <w:rPr>
          <w:rFonts w:ascii="Times New Roman" w:hAnsi="Times New Roman" w:cs="Times New Roman"/>
        </w:rPr>
        <w:t xml:space="preserve"> (2018), https://www.aafp.org/about/policies/all/direct-primary-care.html</w:t>
      </w:r>
    </w:p>
  </w:footnote>
  <w:footnote w:id="156">
    <w:p w14:paraId="63655A9B" w14:textId="1232AF29" w:rsidR="00CC3788" w:rsidRDefault="00CC3788">
      <w:pPr>
        <w:pStyle w:val="FootnoteText"/>
      </w:pPr>
      <w:r>
        <w:rPr>
          <w:rStyle w:val="FootnoteReference"/>
        </w:rPr>
        <w:footnoteRef/>
      </w:r>
      <w:r>
        <w:t xml:space="preserve"> </w:t>
      </w:r>
      <w:r w:rsidR="005C7642" w:rsidRPr="0082070C">
        <w:rPr>
          <w:rFonts w:ascii="Times New Roman" w:hAnsi="Times New Roman" w:cs="Times New Roman"/>
          <w:i/>
          <w:iCs/>
        </w:rPr>
        <w:t>See</w:t>
      </w:r>
      <w:r w:rsidR="005C7642" w:rsidRPr="0082070C">
        <w:rPr>
          <w:rFonts w:ascii="Times New Roman" w:hAnsi="Times New Roman" w:cs="Times New Roman"/>
        </w:rPr>
        <w:t xml:space="preserve"> Medicare for All Act of 2019, </w:t>
      </w:r>
      <w:r w:rsidR="005C7642" w:rsidRPr="0082070C">
        <w:rPr>
          <w:rFonts w:ascii="Times New Roman" w:hAnsi="Times New Roman" w:cs="Times New Roman"/>
          <w:i/>
          <w:iCs/>
        </w:rPr>
        <w:t>supra</w:t>
      </w:r>
      <w:r w:rsidR="005C7642" w:rsidRPr="0082070C">
        <w:rPr>
          <w:rFonts w:ascii="Times New Roman" w:hAnsi="Times New Roman" w:cs="Times New Roman"/>
        </w:rPr>
        <w:t xml:space="preserve"> note 149, at </w:t>
      </w:r>
      <w:r w:rsidR="00185228" w:rsidRPr="0082070C">
        <w:rPr>
          <w:rFonts w:ascii="Times New Roman" w:hAnsi="Times New Roman" w:cs="Times New Roman"/>
        </w:rPr>
        <w:t>§ 105(a)</w:t>
      </w:r>
      <w:r w:rsidR="0082070C" w:rsidRPr="0082070C">
        <w:rPr>
          <w:rFonts w:ascii="Times New Roman" w:hAnsi="Times New Roman" w:cs="Times New Roman"/>
        </w:rPr>
        <w:t>.</w:t>
      </w:r>
    </w:p>
  </w:footnote>
  <w:footnote w:id="157">
    <w:p w14:paraId="014C5257" w14:textId="2E1E05B2" w:rsidR="0082070C" w:rsidRPr="00A51EE4" w:rsidRDefault="0082070C">
      <w:pPr>
        <w:pStyle w:val="FootnoteText"/>
      </w:pPr>
      <w:r>
        <w:rPr>
          <w:rStyle w:val="FootnoteReference"/>
        </w:rPr>
        <w:footnoteRef/>
      </w:r>
      <w:r>
        <w:t xml:space="preserve"> </w:t>
      </w:r>
      <w:r w:rsidR="00A51EE4">
        <w:rPr>
          <w:rFonts w:ascii="Times New Roman" w:hAnsi="Times New Roman" w:cs="Times New Roman"/>
          <w:i/>
          <w:iCs/>
        </w:rPr>
        <w:t xml:space="preserve">Id. </w:t>
      </w:r>
      <w:r w:rsidR="00A51EE4" w:rsidRPr="00A51EE4">
        <w:rPr>
          <w:rFonts w:ascii="Times New Roman" w:hAnsi="Times New Roman" w:cs="Times New Roman"/>
        </w:rPr>
        <w:t>at § 107(a)</w:t>
      </w:r>
      <w:r w:rsidR="00A51EE4">
        <w:rPr>
          <w:rFonts w:ascii="Times New Roman" w:hAnsi="Times New Roman" w:cs="Times New Roman"/>
        </w:rPr>
        <w:t>.</w:t>
      </w:r>
      <w:r w:rsidR="00A51EE4" w:rsidRPr="00A51EE4">
        <w:rPr>
          <w:rFonts w:ascii="Times New Roman" w:hAnsi="Times New Roman" w:cs="Times New Roman"/>
        </w:rPr>
        <w:t xml:space="preserve"> </w:t>
      </w:r>
      <w:r w:rsidRPr="00A51EE4">
        <w:rPr>
          <w:rFonts w:ascii="Times New Roman" w:hAnsi="Times New Roman" w:cs="Times New Roman"/>
        </w:rPr>
        <w:t xml:space="preserve"> </w:t>
      </w:r>
    </w:p>
  </w:footnote>
  <w:footnote w:id="158">
    <w:p w14:paraId="00B0D771" w14:textId="0A843A11" w:rsidR="00C73921" w:rsidRDefault="00C73921">
      <w:pPr>
        <w:pStyle w:val="FootnoteText"/>
      </w:pPr>
      <w:r>
        <w:rPr>
          <w:rStyle w:val="FootnoteReference"/>
        </w:rPr>
        <w:footnoteRef/>
      </w:r>
      <w:r>
        <w:t xml:space="preserve"> </w:t>
      </w:r>
      <w:r w:rsidR="00A51EE4">
        <w:rPr>
          <w:rFonts w:ascii="Times New Roman" w:hAnsi="Times New Roman" w:cs="Times New Roman"/>
          <w:i/>
          <w:iCs/>
        </w:rPr>
        <w:t>Id.</w:t>
      </w:r>
      <w:r>
        <w:rPr>
          <w:rFonts w:ascii="Times New Roman" w:hAnsi="Times New Roman" w:cs="Times New Roman"/>
        </w:rPr>
        <w:t xml:space="preserve"> at </w:t>
      </w:r>
      <w:r w:rsidRPr="0082070C">
        <w:rPr>
          <w:rFonts w:ascii="Times New Roman" w:hAnsi="Times New Roman" w:cs="Times New Roman"/>
        </w:rPr>
        <w:t xml:space="preserve">§ </w:t>
      </w:r>
      <w:r>
        <w:rPr>
          <w:rFonts w:ascii="Times New Roman" w:hAnsi="Times New Roman" w:cs="Times New Roman"/>
        </w:rPr>
        <w:t>202</w:t>
      </w:r>
      <w:r w:rsidRPr="0082070C">
        <w:rPr>
          <w:rFonts w:ascii="Times New Roman" w:hAnsi="Times New Roman" w:cs="Times New Roman"/>
        </w:rPr>
        <w:t>(a)</w:t>
      </w:r>
      <w:r w:rsidR="004E3E58">
        <w:rPr>
          <w:rFonts w:ascii="Times New Roman" w:hAnsi="Times New Roman" w:cs="Times New Roman"/>
        </w:rPr>
        <w:t xml:space="preserve"> and (b)</w:t>
      </w:r>
      <w:r w:rsidRPr="0082070C">
        <w:rPr>
          <w:rFonts w:ascii="Times New Roman" w:hAnsi="Times New Roman" w:cs="Times New Roman"/>
        </w:rPr>
        <w:t>.</w:t>
      </w:r>
    </w:p>
  </w:footnote>
  <w:footnote w:id="159">
    <w:p w14:paraId="780785A8" w14:textId="51870CA1" w:rsidR="000631BD" w:rsidRDefault="000631BD">
      <w:pPr>
        <w:pStyle w:val="FootnoteText"/>
      </w:pPr>
      <w:r>
        <w:rPr>
          <w:rStyle w:val="FootnoteReference"/>
        </w:rPr>
        <w:footnoteRef/>
      </w:r>
      <w:r>
        <w:t xml:space="preserve"> </w:t>
      </w:r>
      <w:r w:rsidRPr="00FD6389">
        <w:rPr>
          <w:rFonts w:ascii="Times New Roman" w:hAnsi="Times New Roman" w:cs="Times New Roman"/>
          <w:i/>
          <w:iCs/>
        </w:rPr>
        <w:t>See</w:t>
      </w:r>
      <w:r w:rsidRPr="00FD6389">
        <w:rPr>
          <w:rFonts w:ascii="Times New Roman" w:hAnsi="Times New Roman" w:cs="Times New Roman"/>
        </w:rPr>
        <w:t xml:space="preserve"> Furrow, et al., </w:t>
      </w:r>
      <w:r w:rsidR="00FD6389" w:rsidRPr="00FD6389">
        <w:rPr>
          <w:rFonts w:ascii="Times New Roman" w:hAnsi="Times New Roman" w:cs="Times New Roman"/>
          <w:i/>
          <w:iCs/>
        </w:rPr>
        <w:t>supra</w:t>
      </w:r>
      <w:r w:rsidR="00FD6389" w:rsidRPr="00FD6389">
        <w:rPr>
          <w:rFonts w:ascii="Times New Roman" w:hAnsi="Times New Roman" w:cs="Times New Roman"/>
        </w:rPr>
        <w:t xml:space="preserve"> note 1, at 637.</w:t>
      </w:r>
    </w:p>
  </w:footnote>
  <w:footnote w:id="160">
    <w:p w14:paraId="655F302E" w14:textId="0FEF9450" w:rsidR="00466DD2" w:rsidRDefault="00466DD2">
      <w:pPr>
        <w:pStyle w:val="FootnoteText"/>
      </w:pPr>
      <w:r>
        <w:rPr>
          <w:rStyle w:val="FootnoteReference"/>
        </w:rPr>
        <w:footnoteRef/>
      </w:r>
      <w:r>
        <w:t xml:space="preserve"> </w:t>
      </w:r>
      <w:r w:rsidR="00132FE8" w:rsidRPr="0082070C">
        <w:rPr>
          <w:rFonts w:ascii="Times New Roman" w:hAnsi="Times New Roman" w:cs="Times New Roman"/>
          <w:i/>
          <w:iCs/>
        </w:rPr>
        <w:t>See</w:t>
      </w:r>
      <w:r w:rsidR="00132FE8" w:rsidRPr="0082070C">
        <w:rPr>
          <w:rFonts w:ascii="Times New Roman" w:hAnsi="Times New Roman" w:cs="Times New Roman"/>
        </w:rPr>
        <w:t xml:space="preserve"> Medicare for All Act of 2019, </w:t>
      </w:r>
      <w:r w:rsidR="00132FE8" w:rsidRPr="0082070C">
        <w:rPr>
          <w:rFonts w:ascii="Times New Roman" w:hAnsi="Times New Roman" w:cs="Times New Roman"/>
          <w:i/>
          <w:iCs/>
        </w:rPr>
        <w:t>supra</w:t>
      </w:r>
      <w:r w:rsidR="00132FE8" w:rsidRPr="0082070C">
        <w:rPr>
          <w:rFonts w:ascii="Times New Roman" w:hAnsi="Times New Roman" w:cs="Times New Roman"/>
        </w:rPr>
        <w:t xml:space="preserve"> note 149, at § </w:t>
      </w:r>
      <w:r w:rsidR="00132FE8">
        <w:rPr>
          <w:rFonts w:ascii="Times New Roman" w:hAnsi="Times New Roman" w:cs="Times New Roman"/>
        </w:rPr>
        <w:t>103</w:t>
      </w:r>
      <w:r w:rsidR="00132FE8" w:rsidRPr="0082070C">
        <w:rPr>
          <w:rFonts w:ascii="Times New Roman" w:hAnsi="Times New Roman" w:cs="Times New Roman"/>
        </w:rPr>
        <w:t>.</w:t>
      </w:r>
    </w:p>
  </w:footnote>
  <w:footnote w:id="161">
    <w:p w14:paraId="79B36C31" w14:textId="3BF97F94" w:rsidR="00120627" w:rsidRDefault="00120627">
      <w:pPr>
        <w:pStyle w:val="FootnoteText"/>
      </w:pPr>
      <w:r>
        <w:rPr>
          <w:rStyle w:val="FootnoteReference"/>
        </w:rPr>
        <w:footnoteRef/>
      </w:r>
      <w:r>
        <w:t xml:space="preserve"> </w:t>
      </w:r>
      <w:r w:rsidRPr="00120627">
        <w:rPr>
          <w:rFonts w:ascii="Times New Roman" w:hAnsi="Times New Roman" w:cs="Times New Roman"/>
          <w:i/>
          <w:iCs/>
        </w:rPr>
        <w:t>Id.</w:t>
      </w:r>
      <w:r w:rsidRPr="00120627">
        <w:rPr>
          <w:rFonts w:ascii="Times New Roman" w:hAnsi="Times New Roman" w:cs="Times New Roman"/>
        </w:rPr>
        <w:t xml:space="preserve"> at</w:t>
      </w:r>
      <w:r>
        <w:t xml:space="preserve"> </w:t>
      </w:r>
      <w:r w:rsidRPr="00A51EE4">
        <w:rPr>
          <w:rFonts w:ascii="Times New Roman" w:hAnsi="Times New Roman" w:cs="Times New Roman"/>
        </w:rPr>
        <w:t>§ 10</w:t>
      </w:r>
      <w:r>
        <w:rPr>
          <w:rFonts w:ascii="Times New Roman" w:hAnsi="Times New Roman" w:cs="Times New Roman"/>
        </w:rPr>
        <w:t>5 (a)(1).</w:t>
      </w:r>
    </w:p>
  </w:footnote>
  <w:footnote w:id="162">
    <w:p w14:paraId="6FC97DBC" w14:textId="7E721BDB" w:rsidR="00BF39CB" w:rsidRDefault="00BF39CB">
      <w:pPr>
        <w:pStyle w:val="FootnoteText"/>
      </w:pPr>
      <w:r>
        <w:rPr>
          <w:rStyle w:val="FootnoteReference"/>
        </w:rPr>
        <w:footnoteRef/>
      </w:r>
      <w:r>
        <w:t xml:space="preserve"> </w:t>
      </w:r>
      <w:r w:rsidRPr="00120627">
        <w:rPr>
          <w:rFonts w:ascii="Times New Roman" w:hAnsi="Times New Roman" w:cs="Times New Roman"/>
          <w:i/>
          <w:iCs/>
        </w:rPr>
        <w:t>Id.</w:t>
      </w:r>
      <w:r w:rsidRPr="00120627">
        <w:rPr>
          <w:rFonts w:ascii="Times New Roman" w:hAnsi="Times New Roman" w:cs="Times New Roman"/>
        </w:rPr>
        <w:t xml:space="preserve"> at</w:t>
      </w:r>
      <w:r>
        <w:t xml:space="preserve"> </w:t>
      </w:r>
      <w:r w:rsidRPr="00A51EE4">
        <w:rPr>
          <w:rFonts w:ascii="Times New Roman" w:hAnsi="Times New Roman" w:cs="Times New Roman"/>
        </w:rPr>
        <w:t xml:space="preserve">§ </w:t>
      </w:r>
      <w:r>
        <w:rPr>
          <w:rFonts w:ascii="Times New Roman" w:hAnsi="Times New Roman" w:cs="Times New Roman"/>
        </w:rPr>
        <w:t>201</w:t>
      </w:r>
      <w:r w:rsidR="0044327C">
        <w:rPr>
          <w:rFonts w:ascii="Times New Roman" w:hAnsi="Times New Roman" w:cs="Times New Roman"/>
        </w:rPr>
        <w:t>(a).</w:t>
      </w:r>
    </w:p>
  </w:footnote>
  <w:footnote w:id="163">
    <w:p w14:paraId="4C7A572A" w14:textId="6FE24749" w:rsidR="0044327C" w:rsidRDefault="0044327C">
      <w:pPr>
        <w:pStyle w:val="FootnoteText"/>
      </w:pPr>
      <w:r>
        <w:rPr>
          <w:rStyle w:val="FootnoteReference"/>
        </w:rPr>
        <w:footnoteRef/>
      </w:r>
      <w:r>
        <w:t xml:space="preserve"> </w:t>
      </w:r>
      <w:r w:rsidRPr="00120627">
        <w:rPr>
          <w:rFonts w:ascii="Times New Roman" w:hAnsi="Times New Roman" w:cs="Times New Roman"/>
          <w:i/>
          <w:iCs/>
        </w:rPr>
        <w:t>Id.</w:t>
      </w:r>
    </w:p>
  </w:footnote>
  <w:footnote w:id="164">
    <w:p w14:paraId="511FC419" w14:textId="13EAAFC7" w:rsidR="004E305B" w:rsidRDefault="004E305B">
      <w:pPr>
        <w:pStyle w:val="FootnoteText"/>
      </w:pPr>
      <w:r>
        <w:rPr>
          <w:rStyle w:val="FootnoteReference"/>
        </w:rPr>
        <w:footnoteRef/>
      </w:r>
      <w:r>
        <w:t xml:space="preserve"> </w:t>
      </w:r>
      <w:r w:rsidRPr="00120627">
        <w:rPr>
          <w:rFonts w:ascii="Times New Roman" w:hAnsi="Times New Roman" w:cs="Times New Roman"/>
          <w:i/>
          <w:iCs/>
        </w:rPr>
        <w:t>Id.</w:t>
      </w:r>
      <w:r w:rsidRPr="00120627">
        <w:rPr>
          <w:rFonts w:ascii="Times New Roman" w:hAnsi="Times New Roman" w:cs="Times New Roman"/>
        </w:rPr>
        <w:t xml:space="preserve"> at</w:t>
      </w:r>
      <w:r>
        <w:t xml:space="preserve"> </w:t>
      </w:r>
      <w:r w:rsidRPr="00A51EE4">
        <w:rPr>
          <w:rFonts w:ascii="Times New Roman" w:hAnsi="Times New Roman" w:cs="Times New Roman"/>
        </w:rPr>
        <w:t xml:space="preserve">§ </w:t>
      </w:r>
      <w:r>
        <w:rPr>
          <w:rFonts w:ascii="Times New Roman" w:hAnsi="Times New Roman" w:cs="Times New Roman"/>
        </w:rPr>
        <w:t>201(b).</w:t>
      </w:r>
    </w:p>
  </w:footnote>
  <w:footnote w:id="165">
    <w:p w14:paraId="17AD4F5B" w14:textId="4236BB21" w:rsidR="00176025" w:rsidRDefault="00176025">
      <w:pPr>
        <w:pStyle w:val="FootnoteText"/>
      </w:pPr>
      <w:r>
        <w:rPr>
          <w:rStyle w:val="FootnoteReference"/>
        </w:rPr>
        <w:footnoteRef/>
      </w:r>
      <w:r>
        <w:t xml:space="preserve"> </w:t>
      </w:r>
      <w:r w:rsidR="0026616A" w:rsidRPr="00120627">
        <w:rPr>
          <w:rFonts w:ascii="Times New Roman" w:hAnsi="Times New Roman" w:cs="Times New Roman"/>
          <w:i/>
          <w:iCs/>
        </w:rPr>
        <w:t>Id.</w:t>
      </w:r>
      <w:r w:rsidR="0026616A" w:rsidRPr="00120627">
        <w:rPr>
          <w:rFonts w:ascii="Times New Roman" w:hAnsi="Times New Roman" w:cs="Times New Roman"/>
        </w:rPr>
        <w:t xml:space="preserve"> at</w:t>
      </w:r>
      <w:r w:rsidR="0026616A">
        <w:t xml:space="preserve"> </w:t>
      </w:r>
      <w:r w:rsidR="0026616A" w:rsidRPr="00A51EE4">
        <w:rPr>
          <w:rFonts w:ascii="Times New Roman" w:hAnsi="Times New Roman" w:cs="Times New Roman"/>
        </w:rPr>
        <w:t xml:space="preserve">§ </w:t>
      </w:r>
      <w:r w:rsidR="0026616A">
        <w:rPr>
          <w:rFonts w:ascii="Times New Roman" w:hAnsi="Times New Roman" w:cs="Times New Roman"/>
        </w:rPr>
        <w:t>611(a).</w:t>
      </w:r>
    </w:p>
  </w:footnote>
  <w:footnote w:id="166">
    <w:p w14:paraId="74725649" w14:textId="106D5628" w:rsidR="00E91FA1" w:rsidRDefault="00E91FA1">
      <w:pPr>
        <w:pStyle w:val="FootnoteText"/>
      </w:pPr>
      <w:r>
        <w:rPr>
          <w:rStyle w:val="FootnoteReference"/>
        </w:rPr>
        <w:footnoteRef/>
      </w:r>
      <w:r>
        <w:t xml:space="preserve"> </w:t>
      </w:r>
      <w:r w:rsidRPr="00120627">
        <w:rPr>
          <w:rFonts w:ascii="Times New Roman" w:hAnsi="Times New Roman" w:cs="Times New Roman"/>
          <w:i/>
          <w:iCs/>
        </w:rPr>
        <w:t>Id.</w:t>
      </w:r>
    </w:p>
  </w:footnote>
  <w:footnote w:id="167">
    <w:p w14:paraId="0E10DBC5" w14:textId="38F5D733" w:rsidR="00EF43F7" w:rsidRDefault="00EF43F7" w:rsidP="00CC2367">
      <w:pPr>
        <w:pStyle w:val="FootnoteText"/>
      </w:pPr>
      <w:r>
        <w:rPr>
          <w:rStyle w:val="FootnoteReference"/>
        </w:rPr>
        <w:footnoteRef/>
      </w:r>
      <w:r>
        <w:t xml:space="preserve"> </w:t>
      </w:r>
      <w:r w:rsidR="00936DCE" w:rsidRPr="00024EBE">
        <w:rPr>
          <w:rFonts w:ascii="Times New Roman" w:hAnsi="Times New Roman" w:cs="Times New Roman"/>
        </w:rPr>
        <w:t xml:space="preserve">Congressional Budget Office, </w:t>
      </w:r>
      <w:r w:rsidR="00CC2367" w:rsidRPr="00024EBE">
        <w:rPr>
          <w:rFonts w:ascii="Times New Roman" w:hAnsi="Times New Roman" w:cs="Times New Roman"/>
          <w:i/>
          <w:iCs/>
        </w:rPr>
        <w:t>Key Design Components and Considerations for Establishing a Single-Payer Health Care System</w:t>
      </w:r>
      <w:r w:rsidR="00077F42" w:rsidRPr="00024EBE">
        <w:rPr>
          <w:rFonts w:ascii="Times New Roman" w:hAnsi="Times New Roman" w:cs="Times New Roman"/>
        </w:rPr>
        <w:t xml:space="preserve">, </w:t>
      </w:r>
      <w:r w:rsidR="003C500F" w:rsidRPr="00024EBE">
        <w:rPr>
          <w:rFonts w:ascii="Times New Roman" w:hAnsi="Times New Roman" w:cs="Times New Roman"/>
        </w:rPr>
        <w:t>(May 2019)</w:t>
      </w:r>
      <w:r w:rsidR="00077F42" w:rsidRPr="00024EBE">
        <w:rPr>
          <w:rFonts w:ascii="Times New Roman" w:hAnsi="Times New Roman" w:cs="Times New Roman"/>
        </w:rPr>
        <w:t>, at 22</w:t>
      </w:r>
      <w:r w:rsidR="003C500F">
        <w:t xml:space="preserve">. </w:t>
      </w:r>
    </w:p>
  </w:footnote>
  <w:footnote w:id="168">
    <w:p w14:paraId="2701E188" w14:textId="6C60E2E5" w:rsidR="00024EBE" w:rsidRDefault="00024EBE">
      <w:pPr>
        <w:pStyle w:val="FootnoteText"/>
      </w:pPr>
      <w:r>
        <w:rPr>
          <w:rStyle w:val="FootnoteReference"/>
        </w:rPr>
        <w:footnoteRef/>
      </w:r>
      <w:r>
        <w:t xml:space="preserve"> </w:t>
      </w:r>
      <w:r w:rsidR="00313719" w:rsidRPr="0082070C">
        <w:rPr>
          <w:rFonts w:ascii="Times New Roman" w:hAnsi="Times New Roman" w:cs="Times New Roman"/>
          <w:i/>
          <w:iCs/>
        </w:rPr>
        <w:t>See</w:t>
      </w:r>
      <w:r w:rsidR="00313719" w:rsidRPr="0082070C">
        <w:rPr>
          <w:rFonts w:ascii="Times New Roman" w:hAnsi="Times New Roman" w:cs="Times New Roman"/>
        </w:rPr>
        <w:t xml:space="preserve"> Medicare for All Act of 2019, </w:t>
      </w:r>
      <w:r w:rsidR="00313719" w:rsidRPr="0082070C">
        <w:rPr>
          <w:rFonts w:ascii="Times New Roman" w:hAnsi="Times New Roman" w:cs="Times New Roman"/>
          <w:i/>
          <w:iCs/>
        </w:rPr>
        <w:t>supra</w:t>
      </w:r>
      <w:r w:rsidR="00313719" w:rsidRPr="0082070C">
        <w:rPr>
          <w:rFonts w:ascii="Times New Roman" w:hAnsi="Times New Roman" w:cs="Times New Roman"/>
        </w:rPr>
        <w:t xml:space="preserve"> note 149, at § </w:t>
      </w:r>
      <w:r w:rsidR="00A32A76">
        <w:rPr>
          <w:rFonts w:ascii="Times New Roman" w:hAnsi="Times New Roman" w:cs="Times New Roman"/>
        </w:rPr>
        <w:t>303</w:t>
      </w:r>
      <w:r w:rsidR="00313719" w:rsidRPr="0082070C">
        <w:rPr>
          <w:rFonts w:ascii="Times New Roman" w:hAnsi="Times New Roman" w:cs="Times New Roman"/>
        </w:rPr>
        <w:t>(a).</w:t>
      </w:r>
    </w:p>
  </w:footnote>
  <w:footnote w:id="169">
    <w:p w14:paraId="5ED177E6" w14:textId="3F74702B" w:rsidR="00E009D2" w:rsidRDefault="00E009D2">
      <w:pPr>
        <w:pStyle w:val="FootnoteText"/>
      </w:pPr>
      <w:r>
        <w:rPr>
          <w:rStyle w:val="FootnoteReference"/>
        </w:rPr>
        <w:footnoteRef/>
      </w:r>
      <w:r>
        <w:t xml:space="preserve"> </w:t>
      </w:r>
      <w:r w:rsidRPr="00E009D2">
        <w:rPr>
          <w:rFonts w:ascii="Times New Roman" w:hAnsi="Times New Roman" w:cs="Times New Roman"/>
          <w:i/>
          <w:iCs/>
        </w:rPr>
        <w:t>Id.</w:t>
      </w:r>
      <w:r w:rsidRPr="00E009D2">
        <w:rPr>
          <w:rFonts w:ascii="Times New Roman" w:hAnsi="Times New Roman" w:cs="Times New Roman"/>
        </w:rPr>
        <w:t xml:space="preserve"> at</w:t>
      </w:r>
      <w:r>
        <w:t xml:space="preserve"> </w:t>
      </w:r>
      <w:r w:rsidRPr="0082070C">
        <w:rPr>
          <w:rFonts w:ascii="Times New Roman" w:hAnsi="Times New Roman" w:cs="Times New Roman"/>
        </w:rPr>
        <w:t xml:space="preserve">§ </w:t>
      </w:r>
      <w:r>
        <w:rPr>
          <w:rFonts w:ascii="Times New Roman" w:hAnsi="Times New Roman" w:cs="Times New Roman"/>
        </w:rPr>
        <w:t>303</w:t>
      </w:r>
      <w:r w:rsidRPr="0082070C">
        <w:rPr>
          <w:rFonts w:ascii="Times New Roman" w:hAnsi="Times New Roman" w:cs="Times New Roman"/>
        </w:rPr>
        <w:t>(</w:t>
      </w:r>
      <w:r>
        <w:rPr>
          <w:rFonts w:ascii="Times New Roman" w:hAnsi="Times New Roman" w:cs="Times New Roman"/>
        </w:rPr>
        <w:t>c</w:t>
      </w:r>
      <w:r w:rsidRPr="0082070C">
        <w:rPr>
          <w:rFonts w:ascii="Times New Roman" w:hAnsi="Times New Roman" w:cs="Times New Roman"/>
        </w:rPr>
        <w:t>).</w:t>
      </w:r>
    </w:p>
  </w:footnote>
  <w:footnote w:id="170">
    <w:p w14:paraId="0834FB4C" w14:textId="656A5731" w:rsidR="002C37BB" w:rsidRPr="0001472E" w:rsidRDefault="002C37BB">
      <w:pPr>
        <w:pStyle w:val="FootnoteText"/>
      </w:pPr>
      <w:r>
        <w:rPr>
          <w:rStyle w:val="FootnoteReference"/>
        </w:rPr>
        <w:footnoteRef/>
      </w:r>
      <w:r>
        <w:t xml:space="preserve"> </w:t>
      </w:r>
      <w:r w:rsidR="00A213B7" w:rsidRPr="00930063">
        <w:rPr>
          <w:rFonts w:ascii="Times New Roman" w:hAnsi="Times New Roman" w:cs="Times New Roman"/>
          <w:i/>
          <w:iCs/>
        </w:rPr>
        <w:t>See</w:t>
      </w:r>
      <w:r w:rsidR="00A213B7" w:rsidRPr="00930063">
        <w:rPr>
          <w:rFonts w:ascii="Times New Roman" w:hAnsi="Times New Roman" w:cs="Times New Roman"/>
        </w:rPr>
        <w:t xml:space="preserve"> </w:t>
      </w:r>
      <w:r w:rsidR="009F0C24" w:rsidRPr="00930063">
        <w:rPr>
          <w:rFonts w:ascii="Times New Roman" w:hAnsi="Times New Roman" w:cs="Times New Roman"/>
        </w:rPr>
        <w:t xml:space="preserve">Earlene K.P. Dowell, </w:t>
      </w:r>
      <w:r w:rsidR="0001472E" w:rsidRPr="00930063">
        <w:rPr>
          <w:rFonts w:ascii="Times New Roman" w:hAnsi="Times New Roman" w:cs="Times New Roman"/>
          <w:i/>
          <w:iCs/>
        </w:rPr>
        <w:t>Census Bureau’s 2018 County Business Patterns Provides Data on Over 1,200 Industries</w:t>
      </w:r>
      <w:r w:rsidR="0001472E" w:rsidRPr="00930063">
        <w:rPr>
          <w:rFonts w:ascii="Times New Roman" w:hAnsi="Times New Roman" w:cs="Times New Roman"/>
        </w:rPr>
        <w:t xml:space="preserve">, United States Census Bureau (Oct. 14, 2020), </w:t>
      </w:r>
      <w:r w:rsidR="00A213B7" w:rsidRPr="00930063">
        <w:rPr>
          <w:rFonts w:ascii="Times New Roman" w:hAnsi="Times New Roman" w:cs="Times New Roman"/>
        </w:rPr>
        <w:t>https://www.census.gov/library/stories/2020/10/health-care-still-largest-united-states-employer.html.</w:t>
      </w:r>
    </w:p>
  </w:footnote>
  <w:footnote w:id="171">
    <w:p w14:paraId="22491F78" w14:textId="2247DF56" w:rsidR="00064074" w:rsidRPr="00F94E7A" w:rsidRDefault="00064074">
      <w:pPr>
        <w:pStyle w:val="FootnoteText"/>
        <w:rPr>
          <w:rFonts w:ascii="Times New Roman" w:hAnsi="Times New Roman" w:cs="Times New Roman"/>
        </w:rPr>
      </w:pPr>
      <w:r>
        <w:rPr>
          <w:rStyle w:val="FootnoteReference"/>
        </w:rPr>
        <w:footnoteRef/>
      </w:r>
      <w:r w:rsidRPr="00323924">
        <w:t xml:space="preserve"> </w:t>
      </w:r>
      <w:r w:rsidR="00323924" w:rsidRPr="00F94E7A">
        <w:rPr>
          <w:rFonts w:ascii="Times New Roman" w:hAnsi="Times New Roman" w:cs="Times New Roman"/>
        </w:rPr>
        <w:t xml:space="preserve">Roosa Tikkanen, et al., </w:t>
      </w:r>
      <w:r w:rsidR="00323924" w:rsidRPr="00F94E7A">
        <w:rPr>
          <w:rFonts w:ascii="Times New Roman" w:hAnsi="Times New Roman" w:cs="Times New Roman"/>
          <w:i/>
          <w:iCs/>
        </w:rPr>
        <w:t>2020 International Profiles of Health Care Systems</w:t>
      </w:r>
      <w:r w:rsidR="00070DB3" w:rsidRPr="00F94E7A">
        <w:rPr>
          <w:rFonts w:ascii="Times New Roman" w:hAnsi="Times New Roman" w:cs="Times New Roman"/>
        </w:rPr>
        <w:t xml:space="preserve">, </w:t>
      </w:r>
      <w:r w:rsidR="008D7DE4" w:rsidRPr="00F94E7A">
        <w:rPr>
          <w:rFonts w:ascii="Times New Roman" w:hAnsi="Times New Roman" w:cs="Times New Roman"/>
        </w:rPr>
        <w:t>The Commonwealth Fund,</w:t>
      </w:r>
      <w:r w:rsidR="00B74C34" w:rsidRPr="00F94E7A">
        <w:rPr>
          <w:rFonts w:ascii="Times New Roman" w:hAnsi="Times New Roman" w:cs="Times New Roman"/>
        </w:rPr>
        <w:t xml:space="preserve"> Dec. 2020</w:t>
      </w:r>
      <w:r w:rsidR="00CD6E4A" w:rsidRPr="00F94E7A">
        <w:rPr>
          <w:rFonts w:ascii="Times New Roman" w:hAnsi="Times New Roman" w:cs="Times New Roman"/>
        </w:rPr>
        <w:t>, at 67.</w:t>
      </w:r>
    </w:p>
  </w:footnote>
  <w:footnote w:id="172">
    <w:p w14:paraId="2309F034" w14:textId="0441012D" w:rsidR="00F94E7A" w:rsidRPr="003218C0" w:rsidRDefault="00F94E7A">
      <w:pPr>
        <w:pStyle w:val="FootnoteText"/>
        <w:rPr>
          <w:rFonts w:ascii="Times New Roman" w:hAnsi="Times New Roman" w:cs="Times New Roman"/>
        </w:rPr>
      </w:pPr>
      <w:r>
        <w:rPr>
          <w:rStyle w:val="FootnoteReference"/>
        </w:rPr>
        <w:footnoteRef/>
      </w:r>
      <w:r>
        <w:t xml:space="preserve"> </w:t>
      </w:r>
      <w:r w:rsidR="001839A6" w:rsidRPr="003218C0">
        <w:rPr>
          <w:rFonts w:ascii="Times New Roman" w:hAnsi="Times New Roman" w:cs="Times New Roman"/>
        </w:rPr>
        <w:t xml:space="preserve">American Hospital Association, </w:t>
      </w:r>
      <w:r w:rsidR="00A261DF" w:rsidRPr="003218C0">
        <w:rPr>
          <w:rFonts w:ascii="Times New Roman" w:hAnsi="Times New Roman" w:cs="Times New Roman"/>
          <w:i/>
          <w:iCs/>
        </w:rPr>
        <w:t>Fact Sheet: Underpayment by Medicare and Medicaid</w:t>
      </w:r>
      <w:r w:rsidR="00A54C08" w:rsidRPr="003218C0">
        <w:rPr>
          <w:rFonts w:ascii="Times New Roman" w:hAnsi="Times New Roman" w:cs="Times New Roman"/>
        </w:rPr>
        <w:t xml:space="preserve"> (</w:t>
      </w:r>
      <w:r w:rsidR="00A261DF" w:rsidRPr="003218C0">
        <w:rPr>
          <w:rFonts w:ascii="Times New Roman" w:hAnsi="Times New Roman" w:cs="Times New Roman"/>
        </w:rPr>
        <w:t>Jan</w:t>
      </w:r>
      <w:r w:rsidR="00A54C08" w:rsidRPr="003218C0">
        <w:rPr>
          <w:rFonts w:ascii="Times New Roman" w:hAnsi="Times New Roman" w:cs="Times New Roman"/>
        </w:rPr>
        <w:t>.</w:t>
      </w:r>
      <w:r w:rsidR="00A261DF" w:rsidRPr="003218C0">
        <w:rPr>
          <w:rFonts w:ascii="Times New Roman" w:hAnsi="Times New Roman" w:cs="Times New Roman"/>
        </w:rPr>
        <w:t xml:space="preserve"> 2021</w:t>
      </w:r>
      <w:r w:rsidR="00A54C08" w:rsidRPr="003218C0">
        <w:rPr>
          <w:rFonts w:ascii="Times New Roman" w:hAnsi="Times New Roman" w:cs="Times New Roman"/>
        </w:rPr>
        <w:t xml:space="preserve">), </w:t>
      </w:r>
      <w:r w:rsidR="00311232" w:rsidRPr="003218C0">
        <w:rPr>
          <w:rFonts w:ascii="Times New Roman" w:hAnsi="Times New Roman" w:cs="Times New Roman"/>
        </w:rPr>
        <w:t xml:space="preserve">https://www.aha.org/fact-sheets/2020-01-07-fact-sheet-underpayment-medicare-and-medicaid. </w:t>
      </w:r>
      <w:r w:rsidR="00A54C08" w:rsidRPr="003218C0">
        <w:rPr>
          <w:rFonts w:ascii="Times New Roman" w:hAnsi="Times New Roman" w:cs="Times New Roman"/>
        </w:rPr>
        <w:t xml:space="preserve"> </w:t>
      </w:r>
    </w:p>
  </w:footnote>
  <w:footnote w:id="173">
    <w:p w14:paraId="19A69A58" w14:textId="3C50D078" w:rsidR="001A4F55" w:rsidRDefault="001A4F55">
      <w:pPr>
        <w:pStyle w:val="FootnoteText"/>
      </w:pPr>
      <w:r>
        <w:rPr>
          <w:rStyle w:val="FootnoteReference"/>
        </w:rPr>
        <w:footnoteRef/>
      </w:r>
      <w:r>
        <w:t xml:space="preserve"> </w:t>
      </w:r>
      <w:r w:rsidR="00CE3EAA" w:rsidRPr="00CC01E6">
        <w:rPr>
          <w:rFonts w:ascii="Times New Roman" w:hAnsi="Times New Roman" w:cs="Times New Roman"/>
          <w:i/>
          <w:iCs/>
        </w:rPr>
        <w:t>See</w:t>
      </w:r>
      <w:r w:rsidR="00CE3EAA" w:rsidRPr="00CC01E6">
        <w:rPr>
          <w:rFonts w:ascii="Times New Roman" w:hAnsi="Times New Roman" w:cs="Times New Roman"/>
        </w:rPr>
        <w:t xml:space="preserve"> Burrow, et al.</w:t>
      </w:r>
      <w:r w:rsidR="00CC01E6" w:rsidRPr="00CC01E6">
        <w:rPr>
          <w:rFonts w:ascii="Times New Roman" w:hAnsi="Times New Roman" w:cs="Times New Roman"/>
        </w:rPr>
        <w:t xml:space="preserve">, </w:t>
      </w:r>
      <w:r w:rsidR="00CC01E6" w:rsidRPr="00CC01E6">
        <w:rPr>
          <w:rFonts w:ascii="Times New Roman" w:hAnsi="Times New Roman" w:cs="Times New Roman"/>
          <w:i/>
          <w:iCs/>
        </w:rPr>
        <w:t>supra</w:t>
      </w:r>
      <w:r w:rsidR="00CC01E6" w:rsidRPr="00CC01E6">
        <w:rPr>
          <w:rFonts w:ascii="Times New Roman" w:hAnsi="Times New Roman" w:cs="Times New Roman"/>
        </w:rPr>
        <w:t xml:space="preserve"> note 1, at 643.</w:t>
      </w:r>
    </w:p>
  </w:footnote>
  <w:footnote w:id="174">
    <w:p w14:paraId="1EF79B82" w14:textId="63A339D3" w:rsidR="001141A6" w:rsidRDefault="001141A6">
      <w:pPr>
        <w:pStyle w:val="FootnoteText"/>
      </w:pPr>
      <w:r>
        <w:rPr>
          <w:rStyle w:val="FootnoteReference"/>
        </w:rPr>
        <w:footnoteRef/>
      </w:r>
      <w:r>
        <w:t xml:space="preserve"> </w:t>
      </w:r>
      <w:r w:rsidR="00853A76" w:rsidRPr="0082070C">
        <w:rPr>
          <w:rFonts w:ascii="Times New Roman" w:hAnsi="Times New Roman" w:cs="Times New Roman"/>
          <w:i/>
          <w:iCs/>
        </w:rPr>
        <w:t>See</w:t>
      </w:r>
      <w:r w:rsidR="00853A76" w:rsidRPr="0082070C">
        <w:rPr>
          <w:rFonts w:ascii="Times New Roman" w:hAnsi="Times New Roman" w:cs="Times New Roman"/>
        </w:rPr>
        <w:t xml:space="preserve"> Medicare for All Act of 2019, </w:t>
      </w:r>
      <w:r w:rsidR="00853A76" w:rsidRPr="0082070C">
        <w:rPr>
          <w:rFonts w:ascii="Times New Roman" w:hAnsi="Times New Roman" w:cs="Times New Roman"/>
          <w:i/>
          <w:iCs/>
        </w:rPr>
        <w:t>supra</w:t>
      </w:r>
      <w:r w:rsidR="00853A76" w:rsidRPr="0082070C">
        <w:rPr>
          <w:rFonts w:ascii="Times New Roman" w:hAnsi="Times New Roman" w:cs="Times New Roman"/>
        </w:rPr>
        <w:t xml:space="preserve"> note 149, at § </w:t>
      </w:r>
      <w:r w:rsidR="00853A76">
        <w:rPr>
          <w:rFonts w:ascii="Times New Roman" w:hAnsi="Times New Roman" w:cs="Times New Roman"/>
        </w:rPr>
        <w:t>202</w:t>
      </w:r>
      <w:r w:rsidR="00853A76" w:rsidRPr="0082070C">
        <w:rPr>
          <w:rFonts w:ascii="Times New Roman" w:hAnsi="Times New Roman" w:cs="Times New Roman"/>
        </w:rPr>
        <w:t>(a)</w:t>
      </w:r>
      <w:r w:rsidR="00853A76">
        <w:rPr>
          <w:rFonts w:ascii="Times New Roman" w:hAnsi="Times New Roman" w:cs="Times New Roman"/>
        </w:rPr>
        <w:t xml:space="preserve"> and (b)</w:t>
      </w:r>
      <w:r w:rsidR="00853A76" w:rsidRPr="0082070C">
        <w:rPr>
          <w:rFonts w:ascii="Times New Roman" w:hAnsi="Times New Roman" w:cs="Times New Roman"/>
        </w:rPr>
        <w:t>.</w:t>
      </w:r>
    </w:p>
  </w:footnote>
  <w:footnote w:id="175">
    <w:p w14:paraId="1B6FD24B" w14:textId="717C0E27" w:rsidR="00D35A17" w:rsidRDefault="00D35A17">
      <w:pPr>
        <w:pStyle w:val="FootnoteText"/>
      </w:pPr>
      <w:r>
        <w:rPr>
          <w:rStyle w:val="FootnoteReference"/>
        </w:rPr>
        <w:footnoteRef/>
      </w:r>
      <w:r>
        <w:t xml:space="preserve"> </w:t>
      </w:r>
      <w:r w:rsidRPr="00D35A17">
        <w:rPr>
          <w:rFonts w:ascii="Times New Roman" w:hAnsi="Times New Roman" w:cs="Times New Roman"/>
          <w:i/>
          <w:iCs/>
        </w:rPr>
        <w:t>Id.</w:t>
      </w:r>
      <w:r w:rsidRPr="00D35A17">
        <w:rPr>
          <w:rFonts w:ascii="Times New Roman" w:hAnsi="Times New Roman" w:cs="Times New Roman"/>
        </w:rPr>
        <w:t xml:space="preserve"> at</w:t>
      </w:r>
      <w:r>
        <w:t xml:space="preserve"> </w:t>
      </w:r>
      <w:r w:rsidRPr="00A51EE4">
        <w:rPr>
          <w:rFonts w:ascii="Times New Roman" w:hAnsi="Times New Roman" w:cs="Times New Roman"/>
        </w:rPr>
        <w:t xml:space="preserve">§ </w:t>
      </w:r>
      <w:r>
        <w:rPr>
          <w:rFonts w:ascii="Times New Roman" w:hAnsi="Times New Roman" w:cs="Times New Roman"/>
        </w:rPr>
        <w:t>201(a).</w:t>
      </w:r>
    </w:p>
  </w:footnote>
  <w:footnote w:id="176">
    <w:p w14:paraId="40DCD153" w14:textId="591080F4" w:rsidR="00EA6CBC" w:rsidRPr="00FB5C3D" w:rsidRDefault="00EA6CBC">
      <w:pPr>
        <w:pStyle w:val="FootnoteText"/>
        <w:rPr>
          <w:rFonts w:ascii="Times New Roman" w:hAnsi="Times New Roman" w:cs="Times New Roman"/>
        </w:rPr>
      </w:pPr>
      <w:r>
        <w:rPr>
          <w:rStyle w:val="FootnoteReference"/>
        </w:rPr>
        <w:footnoteRef/>
      </w:r>
      <w:r>
        <w:t xml:space="preserve"> </w:t>
      </w:r>
      <w:r w:rsidR="00C671D1" w:rsidRPr="00F1655F">
        <w:rPr>
          <w:rFonts w:ascii="Times New Roman" w:hAnsi="Times New Roman" w:cs="Times New Roman"/>
        </w:rPr>
        <w:t xml:space="preserve">Sarah Fisher, </w:t>
      </w:r>
      <w:r w:rsidR="00557EDA" w:rsidRPr="00F1655F">
        <w:rPr>
          <w:rFonts w:ascii="Times New Roman" w:hAnsi="Times New Roman" w:cs="Times New Roman"/>
          <w:i/>
          <w:iCs/>
        </w:rPr>
        <w:t>Medicare for All: Definition and Pros and Cons</w:t>
      </w:r>
      <w:r w:rsidR="00557EDA" w:rsidRPr="00F1655F">
        <w:rPr>
          <w:rFonts w:ascii="Times New Roman" w:hAnsi="Times New Roman" w:cs="Times New Roman"/>
        </w:rPr>
        <w:t xml:space="preserve"> (Oct. 6, 2020), </w:t>
      </w:r>
      <w:r w:rsidR="00F1655F">
        <w:rPr>
          <w:rFonts w:ascii="Times New Roman" w:hAnsi="Times New Roman" w:cs="Times New Roman"/>
        </w:rPr>
        <w:t xml:space="preserve">SmartAsset, </w:t>
      </w:r>
      <w:r w:rsidR="00F1655F" w:rsidRPr="00F1655F">
        <w:rPr>
          <w:rFonts w:ascii="Times New Roman" w:hAnsi="Times New Roman" w:cs="Times New Roman"/>
        </w:rPr>
        <w:t xml:space="preserve">https://smartasset.com/insurance/medicare-for-all-definition-and-pros-and-cons. </w:t>
      </w:r>
      <w:r w:rsidR="00361740">
        <w:rPr>
          <w:rFonts w:ascii="Times New Roman" w:hAnsi="Times New Roman" w:cs="Times New Roman"/>
          <w:i/>
          <w:iCs/>
        </w:rPr>
        <w:t>s</w:t>
      </w:r>
      <w:r w:rsidR="009C2A1A" w:rsidRPr="009C2A1A">
        <w:rPr>
          <w:rFonts w:ascii="Times New Roman" w:hAnsi="Times New Roman" w:cs="Times New Roman"/>
          <w:i/>
          <w:iCs/>
        </w:rPr>
        <w:t>ee also</w:t>
      </w:r>
      <w:r w:rsidR="00FB5C3D">
        <w:rPr>
          <w:rFonts w:ascii="Times New Roman" w:hAnsi="Times New Roman" w:cs="Times New Roman"/>
          <w:i/>
          <w:iCs/>
        </w:rPr>
        <w:t xml:space="preserve">, </w:t>
      </w:r>
      <w:r w:rsidR="00FB5C3D" w:rsidRPr="00F94E7A">
        <w:rPr>
          <w:rFonts w:ascii="Times New Roman" w:hAnsi="Times New Roman" w:cs="Times New Roman"/>
        </w:rPr>
        <w:t>Tikkanen</w:t>
      </w:r>
      <w:r w:rsidR="00FB5C3D">
        <w:rPr>
          <w:rFonts w:ascii="Times New Roman" w:hAnsi="Times New Roman" w:cs="Times New Roman"/>
        </w:rPr>
        <w:t xml:space="preserve">, </w:t>
      </w:r>
      <w:r w:rsidR="00FB5C3D">
        <w:rPr>
          <w:rFonts w:ascii="Times New Roman" w:hAnsi="Times New Roman" w:cs="Times New Roman"/>
          <w:i/>
          <w:iCs/>
        </w:rPr>
        <w:t xml:space="preserve">supra </w:t>
      </w:r>
      <w:r w:rsidR="00FB5C3D">
        <w:rPr>
          <w:rFonts w:ascii="Times New Roman" w:hAnsi="Times New Roman" w:cs="Times New Roman"/>
        </w:rPr>
        <w:t xml:space="preserve">note </w:t>
      </w:r>
      <w:r w:rsidR="002967E7">
        <w:rPr>
          <w:rFonts w:ascii="Times New Roman" w:hAnsi="Times New Roman" w:cs="Times New Roman"/>
        </w:rPr>
        <w:t>171.</w:t>
      </w:r>
    </w:p>
  </w:footnote>
  <w:footnote w:id="177">
    <w:p w14:paraId="3BD752DE" w14:textId="044D90C6" w:rsidR="0047359B" w:rsidRDefault="0047359B">
      <w:pPr>
        <w:pStyle w:val="FootnoteText"/>
      </w:pPr>
      <w:r>
        <w:rPr>
          <w:rStyle w:val="FootnoteReference"/>
        </w:rPr>
        <w:footnoteRef/>
      </w:r>
      <w:r>
        <w:t xml:space="preserve"> </w:t>
      </w:r>
      <w:r w:rsidRPr="0082070C">
        <w:rPr>
          <w:rFonts w:ascii="Times New Roman" w:hAnsi="Times New Roman" w:cs="Times New Roman"/>
          <w:i/>
          <w:iCs/>
        </w:rPr>
        <w:t>See</w:t>
      </w:r>
      <w:r w:rsidRPr="0082070C">
        <w:rPr>
          <w:rFonts w:ascii="Times New Roman" w:hAnsi="Times New Roman" w:cs="Times New Roman"/>
        </w:rPr>
        <w:t xml:space="preserve"> Medicare for All Act of 2019, </w:t>
      </w:r>
      <w:r w:rsidRPr="0082070C">
        <w:rPr>
          <w:rFonts w:ascii="Times New Roman" w:hAnsi="Times New Roman" w:cs="Times New Roman"/>
          <w:i/>
          <w:iCs/>
        </w:rPr>
        <w:t>supra</w:t>
      </w:r>
      <w:r w:rsidRPr="0082070C">
        <w:rPr>
          <w:rFonts w:ascii="Times New Roman" w:hAnsi="Times New Roman" w:cs="Times New Roman"/>
        </w:rPr>
        <w:t xml:space="preserve"> note 149, at § </w:t>
      </w:r>
      <w:r>
        <w:rPr>
          <w:rFonts w:ascii="Times New Roman" w:hAnsi="Times New Roman" w:cs="Times New Roman"/>
        </w:rPr>
        <w:t>613</w:t>
      </w:r>
      <w:r w:rsidR="00AB5EDE">
        <w:rPr>
          <w:rFonts w:ascii="Times New Roman" w:hAnsi="Times New Roman" w:cs="Times New Roman"/>
        </w:rPr>
        <w:t>(a)</w:t>
      </w:r>
      <w:r w:rsidRPr="0082070C">
        <w:rPr>
          <w:rFonts w:ascii="Times New Roman" w:hAnsi="Times New Roman" w:cs="Times New Roman"/>
        </w:rPr>
        <w:t>.</w:t>
      </w:r>
    </w:p>
  </w:footnote>
  <w:footnote w:id="178">
    <w:p w14:paraId="4559F1F7" w14:textId="79AD0CA5" w:rsidR="00243113" w:rsidRDefault="00243113">
      <w:pPr>
        <w:pStyle w:val="FootnoteText"/>
      </w:pPr>
      <w:r>
        <w:rPr>
          <w:rStyle w:val="FootnoteReference"/>
        </w:rPr>
        <w:footnoteRef/>
      </w:r>
      <w:r>
        <w:t xml:space="preserve"> </w:t>
      </w:r>
      <w:r w:rsidR="005F344D">
        <w:rPr>
          <w:rFonts w:ascii="Times New Roman" w:hAnsi="Times New Roman" w:cs="Times New Roman"/>
          <w:i/>
          <w:iCs/>
        </w:rPr>
        <w:t>Id.</w:t>
      </w:r>
      <w:r w:rsidR="00AB5EDE" w:rsidRPr="0082070C">
        <w:rPr>
          <w:rFonts w:ascii="Times New Roman" w:hAnsi="Times New Roman" w:cs="Times New Roman"/>
        </w:rPr>
        <w:t xml:space="preserve"> at § </w:t>
      </w:r>
      <w:r w:rsidR="00AB5EDE">
        <w:rPr>
          <w:rFonts w:ascii="Times New Roman" w:hAnsi="Times New Roman" w:cs="Times New Roman"/>
        </w:rPr>
        <w:t>105(a)</w:t>
      </w:r>
      <w:r w:rsidR="00AB5EDE" w:rsidRPr="0082070C">
        <w:rPr>
          <w:rFonts w:ascii="Times New Roman" w:hAnsi="Times New Roman" w:cs="Times New Roman"/>
        </w:rPr>
        <w:t>.</w:t>
      </w:r>
    </w:p>
  </w:footnote>
  <w:footnote w:id="179">
    <w:p w14:paraId="3EA4E6FB" w14:textId="22E7E029" w:rsidR="00DE679D" w:rsidRDefault="00DE679D">
      <w:pPr>
        <w:pStyle w:val="FootnoteText"/>
      </w:pPr>
      <w:r>
        <w:rPr>
          <w:rStyle w:val="FootnoteReference"/>
        </w:rPr>
        <w:footnoteRef/>
      </w:r>
      <w:r>
        <w:t xml:space="preserve"> </w:t>
      </w:r>
      <w:r w:rsidR="005F344D">
        <w:rPr>
          <w:rFonts w:ascii="Times New Roman" w:hAnsi="Times New Roman" w:cs="Times New Roman"/>
          <w:i/>
          <w:iCs/>
        </w:rPr>
        <w:t xml:space="preserve">Id. </w:t>
      </w:r>
      <w:r w:rsidR="00AB5EDE" w:rsidRPr="0082070C">
        <w:rPr>
          <w:rFonts w:ascii="Times New Roman" w:hAnsi="Times New Roman" w:cs="Times New Roman"/>
        </w:rPr>
        <w:t xml:space="preserve">at § </w:t>
      </w:r>
      <w:r w:rsidR="005F344D">
        <w:rPr>
          <w:rFonts w:ascii="Times New Roman" w:hAnsi="Times New Roman" w:cs="Times New Roman"/>
        </w:rPr>
        <w:t>201(a)</w:t>
      </w:r>
      <w:r w:rsidR="00AB5EDE" w:rsidRPr="0082070C">
        <w:rPr>
          <w:rFonts w:ascii="Times New Roman" w:hAnsi="Times New Roman" w:cs="Times New Roman"/>
        </w:rPr>
        <w:t>.</w:t>
      </w:r>
    </w:p>
  </w:footnote>
  <w:footnote w:id="180">
    <w:p w14:paraId="1279D5E6" w14:textId="0358E848" w:rsidR="00816C1C" w:rsidRDefault="00816C1C">
      <w:pPr>
        <w:pStyle w:val="FootnoteText"/>
      </w:pPr>
      <w:r>
        <w:rPr>
          <w:rStyle w:val="FootnoteReference"/>
        </w:rPr>
        <w:footnoteRef/>
      </w:r>
      <w:r>
        <w:t xml:space="preserve"> </w:t>
      </w:r>
      <w:r w:rsidR="00A17F15">
        <w:rPr>
          <w:rFonts w:ascii="Times New Roman" w:hAnsi="Times New Roman" w:cs="Times New Roman"/>
        </w:rPr>
        <w:t>Chris Christie</w:t>
      </w:r>
      <w:r w:rsidR="00A17F15" w:rsidRPr="000E14DB">
        <w:rPr>
          <w:rFonts w:ascii="Times New Roman" w:hAnsi="Times New Roman" w:cs="Times New Roman"/>
        </w:rPr>
        <w:t xml:space="preserve">, </w:t>
      </w:r>
      <w:r w:rsidR="00611794" w:rsidRPr="00611794">
        <w:rPr>
          <w:rFonts w:ascii="Times New Roman" w:hAnsi="Times New Roman" w:cs="Times New Roman"/>
          <w:i/>
          <w:iCs/>
        </w:rPr>
        <w:t xml:space="preserve">Star-Ledger, </w:t>
      </w:r>
      <w:r w:rsidR="00611794">
        <w:rPr>
          <w:rFonts w:ascii="Times New Roman" w:hAnsi="Times New Roman" w:cs="Times New Roman"/>
          <w:i/>
          <w:iCs/>
        </w:rPr>
        <w:t>L</w:t>
      </w:r>
      <w:r w:rsidR="00611794" w:rsidRPr="00611794">
        <w:rPr>
          <w:rFonts w:ascii="Times New Roman" w:hAnsi="Times New Roman" w:cs="Times New Roman"/>
          <w:i/>
          <w:iCs/>
        </w:rPr>
        <w:t xml:space="preserve">iberals </w:t>
      </w:r>
      <w:r w:rsidR="00611794">
        <w:rPr>
          <w:rFonts w:ascii="Times New Roman" w:hAnsi="Times New Roman" w:cs="Times New Roman"/>
          <w:i/>
          <w:iCs/>
        </w:rPr>
        <w:t>W</w:t>
      </w:r>
      <w:r w:rsidR="00611794" w:rsidRPr="00611794">
        <w:rPr>
          <w:rFonts w:ascii="Times New Roman" w:hAnsi="Times New Roman" w:cs="Times New Roman"/>
          <w:i/>
          <w:iCs/>
        </w:rPr>
        <w:t xml:space="preserve">rong on </w:t>
      </w:r>
      <w:r w:rsidR="00611794">
        <w:rPr>
          <w:rFonts w:ascii="Times New Roman" w:hAnsi="Times New Roman" w:cs="Times New Roman"/>
          <w:i/>
          <w:iCs/>
        </w:rPr>
        <w:t>S</w:t>
      </w:r>
      <w:r w:rsidR="00611794" w:rsidRPr="00611794">
        <w:rPr>
          <w:rFonts w:ascii="Times New Roman" w:hAnsi="Times New Roman" w:cs="Times New Roman"/>
          <w:i/>
          <w:iCs/>
        </w:rPr>
        <w:t xml:space="preserve">chool </w:t>
      </w:r>
      <w:r w:rsidR="00611794">
        <w:rPr>
          <w:rFonts w:ascii="Times New Roman" w:hAnsi="Times New Roman" w:cs="Times New Roman"/>
          <w:i/>
          <w:iCs/>
        </w:rPr>
        <w:t>F</w:t>
      </w:r>
      <w:r w:rsidR="00611794" w:rsidRPr="00611794">
        <w:rPr>
          <w:rFonts w:ascii="Times New Roman" w:hAnsi="Times New Roman" w:cs="Times New Roman"/>
          <w:i/>
          <w:iCs/>
        </w:rPr>
        <w:t>unding</w:t>
      </w:r>
      <w:r w:rsidR="00A17F15" w:rsidRPr="000E14DB">
        <w:rPr>
          <w:rFonts w:ascii="Times New Roman" w:hAnsi="Times New Roman" w:cs="Times New Roman"/>
          <w:i/>
          <w:iCs/>
        </w:rPr>
        <w:t xml:space="preserve">, </w:t>
      </w:r>
      <w:r w:rsidR="00CD7C50">
        <w:rPr>
          <w:rFonts w:ascii="Times New Roman" w:hAnsi="Times New Roman" w:cs="Times New Roman"/>
        </w:rPr>
        <w:t xml:space="preserve">NJ.com </w:t>
      </w:r>
      <w:r w:rsidR="00A17F15" w:rsidRPr="000E14DB">
        <w:rPr>
          <w:rFonts w:ascii="Times New Roman" w:hAnsi="Times New Roman" w:cs="Times New Roman"/>
        </w:rPr>
        <w:t>(</w:t>
      </w:r>
      <w:r w:rsidR="00CD7C50">
        <w:rPr>
          <w:rFonts w:ascii="Times New Roman" w:hAnsi="Times New Roman" w:cs="Times New Roman"/>
        </w:rPr>
        <w:t>Jul</w:t>
      </w:r>
      <w:r w:rsidR="00A17F15" w:rsidRPr="000E14DB">
        <w:rPr>
          <w:rFonts w:ascii="Times New Roman" w:hAnsi="Times New Roman" w:cs="Times New Roman"/>
        </w:rPr>
        <w:t xml:space="preserve">. </w:t>
      </w:r>
      <w:r w:rsidR="00CD7C50">
        <w:rPr>
          <w:rFonts w:ascii="Times New Roman" w:hAnsi="Times New Roman" w:cs="Times New Roman"/>
        </w:rPr>
        <w:t>3</w:t>
      </w:r>
      <w:r w:rsidR="00A17F15" w:rsidRPr="000E14DB">
        <w:rPr>
          <w:rFonts w:ascii="Times New Roman" w:hAnsi="Times New Roman" w:cs="Times New Roman"/>
        </w:rPr>
        <w:t>, 201</w:t>
      </w:r>
      <w:r w:rsidR="00CD7C50">
        <w:rPr>
          <w:rFonts w:ascii="Times New Roman" w:hAnsi="Times New Roman" w:cs="Times New Roman"/>
        </w:rPr>
        <w:t>6</w:t>
      </w:r>
      <w:r w:rsidR="00A17F15" w:rsidRPr="000E14DB">
        <w:rPr>
          <w:rFonts w:ascii="Times New Roman" w:hAnsi="Times New Roman" w:cs="Times New Roman"/>
        </w:rPr>
        <w:t xml:space="preserve">), </w:t>
      </w:r>
      <w:r w:rsidR="00CD7C50" w:rsidRPr="00CD7C50">
        <w:rPr>
          <w:rFonts w:ascii="Times New Roman" w:hAnsi="Times New Roman" w:cs="Times New Roman"/>
        </w:rPr>
        <w:t>https://www.nj.com/opinion/2016/07/christie_star-ledger_liberals_wrong_on_school_fund.html</w:t>
      </w:r>
    </w:p>
  </w:footnote>
  <w:footnote w:id="181">
    <w:p w14:paraId="07D85C34" w14:textId="5D29D4D9" w:rsidR="00C45E85" w:rsidRPr="009417CD" w:rsidRDefault="00C45E85">
      <w:pPr>
        <w:pStyle w:val="FootnoteText"/>
        <w:rPr>
          <w:rFonts w:ascii="Times New Roman" w:hAnsi="Times New Roman" w:cs="Times New Roman"/>
        </w:rPr>
      </w:pPr>
      <w:r>
        <w:rPr>
          <w:rStyle w:val="FootnoteReference"/>
        </w:rPr>
        <w:footnoteRef/>
      </w:r>
      <w:r>
        <w:t xml:space="preserve"> </w:t>
      </w:r>
      <w:r w:rsidR="00CC696D" w:rsidRPr="009417CD">
        <w:rPr>
          <w:rFonts w:ascii="Times New Roman" w:hAnsi="Times New Roman" w:cs="Times New Roman"/>
        </w:rPr>
        <w:t xml:space="preserve">Corporate Finance Institute, </w:t>
      </w:r>
      <w:r w:rsidR="00CC696D" w:rsidRPr="009417CD">
        <w:rPr>
          <w:rFonts w:ascii="Times New Roman" w:hAnsi="Times New Roman" w:cs="Times New Roman"/>
          <w:i/>
          <w:iCs/>
        </w:rPr>
        <w:t>What is Monopsony?</w:t>
      </w:r>
      <w:r w:rsidR="00280309" w:rsidRPr="009417CD">
        <w:rPr>
          <w:rFonts w:ascii="Times New Roman" w:hAnsi="Times New Roman" w:cs="Times New Roman"/>
        </w:rPr>
        <w:t xml:space="preserve">, https://corporatefinanceinstitute.com/resources/knowledge/economics/monopsony/. </w:t>
      </w:r>
    </w:p>
  </w:footnote>
  <w:footnote w:id="182">
    <w:p w14:paraId="40B1CE4A" w14:textId="796357C8" w:rsidR="00C463CE" w:rsidRPr="00057524" w:rsidRDefault="00C463CE">
      <w:pPr>
        <w:pStyle w:val="FootnoteText"/>
      </w:pPr>
      <w:r>
        <w:rPr>
          <w:rStyle w:val="FootnoteReference"/>
        </w:rPr>
        <w:footnoteRef/>
      </w:r>
      <w:r>
        <w:t xml:space="preserve"> </w:t>
      </w:r>
      <w:r w:rsidR="00057524" w:rsidRPr="009417CD">
        <w:rPr>
          <w:rFonts w:ascii="Times New Roman" w:hAnsi="Times New Roman" w:cs="Times New Roman"/>
          <w:i/>
          <w:iCs/>
        </w:rPr>
        <w:t>See</w:t>
      </w:r>
      <w:r w:rsidR="00057524" w:rsidRPr="009417CD">
        <w:rPr>
          <w:rFonts w:ascii="Times New Roman" w:hAnsi="Times New Roman" w:cs="Times New Roman"/>
        </w:rPr>
        <w:t xml:space="preserve"> Joe Bi</w:t>
      </w:r>
      <w:r w:rsidR="000D24DB" w:rsidRPr="009417CD">
        <w:rPr>
          <w:rFonts w:ascii="Times New Roman" w:hAnsi="Times New Roman" w:cs="Times New Roman"/>
        </w:rPr>
        <w:t>d</w:t>
      </w:r>
      <w:r w:rsidR="00057524" w:rsidRPr="009417CD">
        <w:rPr>
          <w:rFonts w:ascii="Times New Roman" w:hAnsi="Times New Roman" w:cs="Times New Roman"/>
        </w:rPr>
        <w:t>en</w:t>
      </w:r>
      <w:r w:rsidR="000D24DB" w:rsidRPr="009417CD">
        <w:rPr>
          <w:rFonts w:ascii="Times New Roman" w:hAnsi="Times New Roman" w:cs="Times New Roman"/>
        </w:rPr>
        <w:t xml:space="preserve">, </w:t>
      </w:r>
      <w:r w:rsidR="000D24DB" w:rsidRPr="009417CD">
        <w:rPr>
          <w:rFonts w:ascii="Times New Roman" w:hAnsi="Times New Roman" w:cs="Times New Roman"/>
          <w:i/>
          <w:iCs/>
        </w:rPr>
        <w:t>supra</w:t>
      </w:r>
      <w:r w:rsidR="000D24DB" w:rsidRPr="009417CD">
        <w:rPr>
          <w:rFonts w:ascii="Times New Roman" w:hAnsi="Times New Roman" w:cs="Times New Roman"/>
        </w:rPr>
        <w:t xml:space="preserve"> note 150.</w:t>
      </w:r>
    </w:p>
  </w:footnote>
  <w:footnote w:id="183">
    <w:p w14:paraId="30E82E26" w14:textId="2924FF62" w:rsidR="00C07E82" w:rsidRDefault="00C07E82">
      <w:pPr>
        <w:pStyle w:val="FootnoteText"/>
      </w:pPr>
      <w:r>
        <w:rPr>
          <w:rStyle w:val="FootnoteReference"/>
        </w:rPr>
        <w:footnoteRef/>
      </w:r>
      <w:r>
        <w:t xml:space="preserve"> </w:t>
      </w:r>
      <w:bookmarkStart w:id="3" w:name="_Hlk70607630"/>
      <w:r w:rsidRPr="00C07E82">
        <w:rPr>
          <w:rFonts w:ascii="Times New Roman" w:hAnsi="Times New Roman" w:cs="Times New Roman"/>
          <w:i/>
          <w:iCs/>
        </w:rPr>
        <w:t>Id.</w:t>
      </w:r>
      <w:bookmarkEnd w:id="3"/>
    </w:p>
  </w:footnote>
  <w:footnote w:id="184">
    <w:p w14:paraId="20A3A347" w14:textId="5CAA14F2" w:rsidR="00C07E82" w:rsidRDefault="00C07E82">
      <w:pPr>
        <w:pStyle w:val="FootnoteText"/>
      </w:pPr>
      <w:r>
        <w:rPr>
          <w:rStyle w:val="FootnoteReference"/>
        </w:rPr>
        <w:footnoteRef/>
      </w:r>
      <w:r>
        <w:t xml:space="preserve"> </w:t>
      </w:r>
      <w:r w:rsidRPr="00C07E82">
        <w:rPr>
          <w:rFonts w:ascii="Times New Roman" w:hAnsi="Times New Roman" w:cs="Times New Roman"/>
          <w:i/>
          <w:iCs/>
        </w:rPr>
        <w:t>Id.</w:t>
      </w:r>
      <w:r>
        <w:t xml:space="preserve"> </w:t>
      </w:r>
    </w:p>
  </w:footnote>
  <w:footnote w:id="185">
    <w:p w14:paraId="709583F2" w14:textId="4ACD5A9E" w:rsidR="00C07E82" w:rsidRDefault="00C07E82">
      <w:pPr>
        <w:pStyle w:val="FootnoteText"/>
      </w:pPr>
      <w:r>
        <w:rPr>
          <w:rStyle w:val="FootnoteReference"/>
        </w:rPr>
        <w:footnoteRef/>
      </w:r>
      <w:r>
        <w:t xml:space="preserve"> </w:t>
      </w:r>
      <w:r w:rsidRPr="00C07E82">
        <w:rPr>
          <w:rFonts w:ascii="Times New Roman" w:hAnsi="Times New Roman" w:cs="Times New Roman"/>
          <w:i/>
          <w:iCs/>
        </w:rPr>
        <w:t>Id.</w:t>
      </w:r>
    </w:p>
  </w:footnote>
  <w:footnote w:id="186">
    <w:p w14:paraId="10D25048" w14:textId="3A0243EA" w:rsidR="00E25641" w:rsidRDefault="00E25641">
      <w:pPr>
        <w:pStyle w:val="FootnoteText"/>
      </w:pPr>
      <w:r>
        <w:rPr>
          <w:rStyle w:val="FootnoteReference"/>
        </w:rPr>
        <w:footnoteRef/>
      </w:r>
      <w:r>
        <w:t xml:space="preserve"> </w:t>
      </w:r>
      <w:r w:rsidRPr="00C07E82">
        <w:rPr>
          <w:rFonts w:ascii="Times New Roman" w:hAnsi="Times New Roman" w:cs="Times New Roman"/>
          <w:i/>
          <w:iCs/>
        </w:rPr>
        <w:t>Id.</w:t>
      </w:r>
    </w:p>
  </w:footnote>
  <w:footnote w:id="187">
    <w:p w14:paraId="6C894349" w14:textId="644E932E" w:rsidR="00E25641" w:rsidRDefault="00E25641">
      <w:pPr>
        <w:pStyle w:val="FootnoteText"/>
      </w:pPr>
      <w:r>
        <w:rPr>
          <w:rStyle w:val="FootnoteReference"/>
        </w:rPr>
        <w:footnoteRef/>
      </w:r>
      <w:r>
        <w:t xml:space="preserve"> </w:t>
      </w:r>
      <w:r w:rsidRPr="00C07E82">
        <w:rPr>
          <w:rFonts w:ascii="Times New Roman" w:hAnsi="Times New Roman" w:cs="Times New Roman"/>
          <w:i/>
          <w:iCs/>
        </w:rPr>
        <w:t>Id.</w:t>
      </w:r>
    </w:p>
  </w:footnote>
  <w:footnote w:id="188">
    <w:p w14:paraId="081899BD" w14:textId="3E9E0056" w:rsidR="00415C31" w:rsidRDefault="00415C31">
      <w:pPr>
        <w:pStyle w:val="FootnoteText"/>
      </w:pPr>
      <w:r>
        <w:rPr>
          <w:rStyle w:val="FootnoteReference"/>
        </w:rPr>
        <w:footnoteRef/>
      </w:r>
      <w:r>
        <w:t xml:space="preserve"> </w:t>
      </w:r>
      <w:r w:rsidRPr="00C07E82">
        <w:rPr>
          <w:rFonts w:ascii="Times New Roman" w:hAnsi="Times New Roman" w:cs="Times New Roman"/>
          <w:i/>
          <w:iCs/>
        </w:rPr>
        <w:t>Id.</w:t>
      </w:r>
    </w:p>
  </w:footnote>
  <w:footnote w:id="189">
    <w:p w14:paraId="156EA157" w14:textId="0BCA64E5" w:rsidR="00415C31" w:rsidRDefault="00415C31">
      <w:pPr>
        <w:pStyle w:val="FootnoteText"/>
      </w:pPr>
      <w:r>
        <w:rPr>
          <w:rStyle w:val="FootnoteReference"/>
        </w:rPr>
        <w:footnoteRef/>
      </w:r>
      <w:r>
        <w:t xml:space="preserve"> </w:t>
      </w:r>
      <w:r w:rsidRPr="00C07E82">
        <w:rPr>
          <w:rFonts w:ascii="Times New Roman" w:hAnsi="Times New Roman" w:cs="Times New Roman"/>
          <w:i/>
          <w:iCs/>
        </w:rPr>
        <w:t>Id.</w:t>
      </w:r>
    </w:p>
  </w:footnote>
  <w:footnote w:id="190">
    <w:p w14:paraId="44C6C3D2" w14:textId="60AC4F9A" w:rsidR="00415C31" w:rsidRDefault="00415C31">
      <w:pPr>
        <w:pStyle w:val="FootnoteText"/>
      </w:pPr>
      <w:r>
        <w:rPr>
          <w:rStyle w:val="FootnoteReference"/>
        </w:rPr>
        <w:footnoteRef/>
      </w:r>
      <w:r>
        <w:t xml:space="preserve"> </w:t>
      </w:r>
      <w:r w:rsidRPr="00C07E82">
        <w:rPr>
          <w:rFonts w:ascii="Times New Roman" w:hAnsi="Times New Roman" w:cs="Times New Roman"/>
          <w:i/>
          <w:iCs/>
        </w:rPr>
        <w:t>Id.</w:t>
      </w:r>
    </w:p>
  </w:footnote>
  <w:footnote w:id="191">
    <w:p w14:paraId="5DC630E0" w14:textId="4D0D6691" w:rsidR="00415C31" w:rsidRDefault="00415C31">
      <w:pPr>
        <w:pStyle w:val="FootnoteText"/>
      </w:pPr>
      <w:r>
        <w:rPr>
          <w:rStyle w:val="FootnoteReference"/>
        </w:rPr>
        <w:footnoteRef/>
      </w:r>
      <w:r>
        <w:t xml:space="preserve"> </w:t>
      </w:r>
      <w:r w:rsidRPr="00C07E82">
        <w:rPr>
          <w:rFonts w:ascii="Times New Roman" w:hAnsi="Times New Roman" w:cs="Times New Roman"/>
          <w:i/>
          <w:iCs/>
        </w:rPr>
        <w:t>Id.</w:t>
      </w:r>
    </w:p>
  </w:footnote>
  <w:footnote w:id="192">
    <w:p w14:paraId="06D98FFB" w14:textId="0E998FCB" w:rsidR="00415C31" w:rsidRDefault="00415C31">
      <w:pPr>
        <w:pStyle w:val="FootnoteText"/>
      </w:pPr>
      <w:r>
        <w:rPr>
          <w:rStyle w:val="FootnoteReference"/>
        </w:rPr>
        <w:footnoteRef/>
      </w:r>
      <w:r>
        <w:t xml:space="preserve"> </w:t>
      </w:r>
      <w:r w:rsidRPr="00C07E82">
        <w:rPr>
          <w:rFonts w:ascii="Times New Roman" w:hAnsi="Times New Roman" w:cs="Times New Roman"/>
          <w:i/>
          <w:iCs/>
        </w:rPr>
        <w:t>Id.</w:t>
      </w:r>
    </w:p>
  </w:footnote>
  <w:footnote w:id="193">
    <w:p w14:paraId="386C4B41" w14:textId="1555954E" w:rsidR="00E773F9" w:rsidRPr="000C4E81" w:rsidRDefault="00E773F9">
      <w:pPr>
        <w:pStyle w:val="FootnoteText"/>
      </w:pPr>
      <w:r>
        <w:rPr>
          <w:rStyle w:val="FootnoteReference"/>
        </w:rPr>
        <w:footnoteRef/>
      </w:r>
      <w:r>
        <w:t xml:space="preserve"> </w:t>
      </w:r>
      <w:r w:rsidRPr="008958BD">
        <w:rPr>
          <w:rFonts w:ascii="Times New Roman" w:hAnsi="Times New Roman" w:cs="Times New Roman"/>
        </w:rPr>
        <w:t xml:space="preserve">Jonathan Gruber and Kosali Simon, </w:t>
      </w:r>
      <w:r w:rsidR="000C4E81" w:rsidRPr="008958BD">
        <w:rPr>
          <w:rFonts w:ascii="Times New Roman" w:hAnsi="Times New Roman" w:cs="Times New Roman"/>
          <w:i/>
          <w:iCs/>
        </w:rPr>
        <w:t>Crowd-Out Ten Years Later: Have Recent Public Insurance Expansions Crowded Out Private Health Insurance?</w:t>
      </w:r>
      <w:r w:rsidR="009805C7" w:rsidRPr="008958BD">
        <w:rPr>
          <w:rFonts w:ascii="Times New Roman" w:hAnsi="Times New Roman" w:cs="Times New Roman"/>
          <w:i/>
          <w:iCs/>
        </w:rPr>
        <w:t xml:space="preserve"> </w:t>
      </w:r>
      <w:r w:rsidR="009805C7" w:rsidRPr="008958BD">
        <w:rPr>
          <w:rFonts w:ascii="Times New Roman" w:hAnsi="Times New Roman" w:cs="Times New Roman"/>
        </w:rPr>
        <w:t>(Jan. 2017)</w:t>
      </w:r>
      <w:r w:rsidR="000C4E81" w:rsidRPr="008958BD">
        <w:rPr>
          <w:rFonts w:ascii="Times New Roman" w:hAnsi="Times New Roman" w:cs="Times New Roman"/>
        </w:rPr>
        <w:t>, N</w:t>
      </w:r>
      <w:r w:rsidR="000C4E81" w:rsidRPr="00582602">
        <w:rPr>
          <w:rFonts w:ascii="Times New Roman" w:hAnsi="Times New Roman" w:cs="Times New Roman"/>
          <w:smallCaps/>
        </w:rPr>
        <w:t>ational</w:t>
      </w:r>
      <w:r w:rsidR="000C4E81" w:rsidRPr="008958BD">
        <w:rPr>
          <w:rFonts w:ascii="Times New Roman" w:hAnsi="Times New Roman" w:cs="Times New Roman"/>
        </w:rPr>
        <w:t xml:space="preserve"> B</w:t>
      </w:r>
      <w:r w:rsidR="000C4E81" w:rsidRPr="00582602">
        <w:rPr>
          <w:rFonts w:ascii="Times New Roman" w:hAnsi="Times New Roman" w:cs="Times New Roman"/>
          <w:smallCaps/>
        </w:rPr>
        <w:t>ureau</w:t>
      </w:r>
      <w:r w:rsidR="000C4E81" w:rsidRPr="008958BD">
        <w:rPr>
          <w:rFonts w:ascii="Times New Roman" w:hAnsi="Times New Roman" w:cs="Times New Roman"/>
        </w:rPr>
        <w:t xml:space="preserve"> </w:t>
      </w:r>
      <w:r w:rsidR="000C4E81" w:rsidRPr="00582602">
        <w:rPr>
          <w:rFonts w:ascii="Times New Roman" w:hAnsi="Times New Roman" w:cs="Times New Roman"/>
          <w:smallCaps/>
        </w:rPr>
        <w:t>of</w:t>
      </w:r>
      <w:r w:rsidR="000C4E81" w:rsidRPr="008958BD">
        <w:rPr>
          <w:rFonts w:ascii="Times New Roman" w:hAnsi="Times New Roman" w:cs="Times New Roman"/>
        </w:rPr>
        <w:t xml:space="preserve"> E</w:t>
      </w:r>
      <w:r w:rsidR="000C4E81" w:rsidRPr="00582602">
        <w:rPr>
          <w:rFonts w:ascii="Times New Roman" w:hAnsi="Times New Roman" w:cs="Times New Roman"/>
          <w:smallCaps/>
        </w:rPr>
        <w:t>conomic</w:t>
      </w:r>
      <w:r w:rsidR="000C4E81" w:rsidRPr="008958BD">
        <w:rPr>
          <w:rFonts w:ascii="Times New Roman" w:hAnsi="Times New Roman" w:cs="Times New Roman"/>
        </w:rPr>
        <w:t xml:space="preserve"> R</w:t>
      </w:r>
      <w:r w:rsidR="000C4E81" w:rsidRPr="00582602">
        <w:rPr>
          <w:rFonts w:ascii="Times New Roman" w:hAnsi="Times New Roman" w:cs="Times New Roman"/>
          <w:smallCaps/>
        </w:rPr>
        <w:t>esearch</w:t>
      </w:r>
      <w:r w:rsidR="009805C7" w:rsidRPr="008958BD">
        <w:rPr>
          <w:rFonts w:ascii="Times New Roman" w:hAnsi="Times New Roman" w:cs="Times New Roman"/>
        </w:rPr>
        <w:t xml:space="preserve">, </w:t>
      </w:r>
      <w:r w:rsidR="008958BD" w:rsidRPr="008958BD">
        <w:rPr>
          <w:rFonts w:ascii="Times New Roman" w:hAnsi="Times New Roman" w:cs="Times New Roman"/>
        </w:rPr>
        <w:t>https://www.nber.org/papers/w12858.</w:t>
      </w:r>
      <w:r w:rsidR="008958BD">
        <w:t xml:space="preserve"> </w:t>
      </w:r>
    </w:p>
  </w:footnote>
  <w:footnote w:id="194">
    <w:p w14:paraId="202EB71C" w14:textId="74F072EF" w:rsidR="00716E5E" w:rsidRDefault="00716E5E">
      <w:pPr>
        <w:pStyle w:val="FootnoteText"/>
      </w:pPr>
      <w:r>
        <w:rPr>
          <w:rStyle w:val="FootnoteReference"/>
        </w:rPr>
        <w:footnoteRef/>
      </w:r>
      <w:r>
        <w:t xml:space="preserve"> </w:t>
      </w:r>
      <w:r w:rsidRPr="009417CD">
        <w:rPr>
          <w:rFonts w:ascii="Times New Roman" w:hAnsi="Times New Roman" w:cs="Times New Roman"/>
          <w:i/>
          <w:iCs/>
        </w:rPr>
        <w:t>See</w:t>
      </w:r>
      <w:r w:rsidRPr="009417CD">
        <w:rPr>
          <w:rFonts w:ascii="Times New Roman" w:hAnsi="Times New Roman" w:cs="Times New Roman"/>
        </w:rPr>
        <w:t xml:space="preserve"> Biden, </w:t>
      </w:r>
      <w:r w:rsidRPr="009417CD">
        <w:rPr>
          <w:rFonts w:ascii="Times New Roman" w:hAnsi="Times New Roman" w:cs="Times New Roman"/>
          <w:i/>
          <w:iCs/>
        </w:rPr>
        <w:t>supra</w:t>
      </w:r>
      <w:r w:rsidRPr="009417CD">
        <w:rPr>
          <w:rFonts w:ascii="Times New Roman" w:hAnsi="Times New Roman" w:cs="Times New Roman"/>
        </w:rPr>
        <w:t xml:space="preserve"> note 150.</w:t>
      </w:r>
    </w:p>
  </w:footnote>
  <w:footnote w:id="195">
    <w:p w14:paraId="22CEB593" w14:textId="47763016" w:rsidR="001E0A61" w:rsidRDefault="001E0A61">
      <w:pPr>
        <w:pStyle w:val="FootnoteText"/>
      </w:pPr>
      <w:r>
        <w:rPr>
          <w:rStyle w:val="FootnoteReference"/>
        </w:rPr>
        <w:footnoteRef/>
      </w:r>
      <w:r>
        <w:t xml:space="preserve"> </w:t>
      </w:r>
      <w:bookmarkStart w:id="4" w:name="_Hlk70609140"/>
      <w:r w:rsidR="00B741DE" w:rsidRPr="009417CD">
        <w:rPr>
          <w:rFonts w:ascii="Times New Roman" w:hAnsi="Times New Roman" w:cs="Times New Roman"/>
          <w:i/>
          <w:iCs/>
        </w:rPr>
        <w:t>See</w:t>
      </w:r>
      <w:r w:rsidR="00B741DE" w:rsidRPr="009417CD">
        <w:rPr>
          <w:rFonts w:ascii="Times New Roman" w:hAnsi="Times New Roman" w:cs="Times New Roman"/>
        </w:rPr>
        <w:t xml:space="preserve"> </w:t>
      </w:r>
      <w:r w:rsidR="00B741DE">
        <w:rPr>
          <w:rFonts w:ascii="Times New Roman" w:hAnsi="Times New Roman" w:cs="Times New Roman"/>
        </w:rPr>
        <w:t>Roy</w:t>
      </w:r>
      <w:r w:rsidR="00B741DE" w:rsidRPr="009417CD">
        <w:rPr>
          <w:rFonts w:ascii="Times New Roman" w:hAnsi="Times New Roman" w:cs="Times New Roman"/>
        </w:rPr>
        <w:t xml:space="preserve">, </w:t>
      </w:r>
      <w:r w:rsidR="00B741DE" w:rsidRPr="009417CD">
        <w:rPr>
          <w:rFonts w:ascii="Times New Roman" w:hAnsi="Times New Roman" w:cs="Times New Roman"/>
          <w:i/>
          <w:iCs/>
        </w:rPr>
        <w:t>supra</w:t>
      </w:r>
      <w:r w:rsidR="00B741DE" w:rsidRPr="009417CD">
        <w:rPr>
          <w:rFonts w:ascii="Times New Roman" w:hAnsi="Times New Roman" w:cs="Times New Roman"/>
        </w:rPr>
        <w:t xml:space="preserve"> note 15</w:t>
      </w:r>
      <w:r w:rsidR="00B741DE">
        <w:rPr>
          <w:rFonts w:ascii="Times New Roman" w:hAnsi="Times New Roman" w:cs="Times New Roman"/>
        </w:rPr>
        <w:t>3</w:t>
      </w:r>
      <w:r w:rsidR="00B741DE" w:rsidRPr="009417CD">
        <w:rPr>
          <w:rFonts w:ascii="Times New Roman" w:hAnsi="Times New Roman" w:cs="Times New Roman"/>
        </w:rPr>
        <w:t>.</w:t>
      </w:r>
      <w:bookmarkEnd w:id="4"/>
    </w:p>
  </w:footnote>
  <w:footnote w:id="196">
    <w:p w14:paraId="0FA9AB1C" w14:textId="0B9EEB65" w:rsidR="0072120C" w:rsidRDefault="0072120C">
      <w:pPr>
        <w:pStyle w:val="FootnoteText"/>
      </w:pPr>
      <w:r>
        <w:rPr>
          <w:rStyle w:val="FootnoteReference"/>
        </w:rPr>
        <w:footnoteRef/>
      </w:r>
      <w:r>
        <w:t xml:space="preserve"> </w:t>
      </w:r>
      <w:r>
        <w:rPr>
          <w:rFonts w:ascii="Times New Roman" w:hAnsi="Times New Roman" w:cs="Times New Roman"/>
          <w:i/>
          <w:iCs/>
        </w:rPr>
        <w:t xml:space="preserve">Id. </w:t>
      </w:r>
    </w:p>
  </w:footnote>
  <w:footnote w:id="197">
    <w:p w14:paraId="225F6252" w14:textId="780A0E68" w:rsidR="00A03125" w:rsidRPr="008649D1" w:rsidRDefault="00A03125">
      <w:pPr>
        <w:pStyle w:val="FootnoteText"/>
      </w:pPr>
      <w:r>
        <w:rPr>
          <w:rStyle w:val="FootnoteReference"/>
        </w:rPr>
        <w:footnoteRef/>
      </w:r>
      <w:r>
        <w:t xml:space="preserve"> </w:t>
      </w:r>
      <w:r w:rsidR="008649D1" w:rsidRPr="0082070C">
        <w:rPr>
          <w:rFonts w:ascii="Times New Roman" w:hAnsi="Times New Roman" w:cs="Times New Roman"/>
          <w:i/>
          <w:iCs/>
        </w:rPr>
        <w:t>See</w:t>
      </w:r>
      <w:r w:rsidR="008649D1" w:rsidRPr="0082070C">
        <w:rPr>
          <w:rFonts w:ascii="Times New Roman" w:hAnsi="Times New Roman" w:cs="Times New Roman"/>
        </w:rPr>
        <w:t xml:space="preserve"> Medicare for All Act of 2019, </w:t>
      </w:r>
      <w:r w:rsidR="008649D1" w:rsidRPr="0082070C">
        <w:rPr>
          <w:rFonts w:ascii="Times New Roman" w:hAnsi="Times New Roman" w:cs="Times New Roman"/>
          <w:i/>
          <w:iCs/>
        </w:rPr>
        <w:t>supra</w:t>
      </w:r>
      <w:r w:rsidR="008649D1" w:rsidRPr="0082070C">
        <w:rPr>
          <w:rFonts w:ascii="Times New Roman" w:hAnsi="Times New Roman" w:cs="Times New Roman"/>
        </w:rPr>
        <w:t xml:space="preserve"> note 149</w:t>
      </w:r>
      <w:r w:rsidR="008649D1">
        <w:rPr>
          <w:rFonts w:ascii="Times New Roman" w:hAnsi="Times New Roman" w:cs="Times New Roman"/>
        </w:rPr>
        <w:t xml:space="preserve">; </w:t>
      </w:r>
      <w:r w:rsidR="00582602">
        <w:rPr>
          <w:rFonts w:ascii="Times New Roman" w:hAnsi="Times New Roman" w:cs="Times New Roman"/>
          <w:i/>
          <w:iCs/>
        </w:rPr>
        <w:t>s</w:t>
      </w:r>
      <w:r w:rsidR="008649D1" w:rsidRPr="008649D1">
        <w:rPr>
          <w:rFonts w:ascii="Times New Roman" w:hAnsi="Times New Roman" w:cs="Times New Roman"/>
          <w:i/>
          <w:iCs/>
        </w:rPr>
        <w:t>ee also</w:t>
      </w:r>
      <w:r w:rsidR="008649D1">
        <w:rPr>
          <w:rFonts w:ascii="Times New Roman" w:hAnsi="Times New Roman" w:cs="Times New Roman"/>
        </w:rPr>
        <w:t xml:space="preserve"> </w:t>
      </w:r>
      <w:r w:rsidR="008649D1" w:rsidRPr="008649D1">
        <w:rPr>
          <w:rFonts w:ascii="Times New Roman" w:hAnsi="Times New Roman" w:cs="Times New Roman"/>
        </w:rPr>
        <w:t xml:space="preserve">Biden, </w:t>
      </w:r>
      <w:r w:rsidR="008649D1" w:rsidRPr="008649D1">
        <w:rPr>
          <w:rFonts w:ascii="Times New Roman" w:hAnsi="Times New Roman" w:cs="Times New Roman"/>
          <w:i/>
          <w:iCs/>
        </w:rPr>
        <w:t>supra</w:t>
      </w:r>
      <w:r w:rsidR="008649D1" w:rsidRPr="008649D1">
        <w:rPr>
          <w:rFonts w:ascii="Times New Roman" w:hAnsi="Times New Roman" w:cs="Times New Roman"/>
        </w:rPr>
        <w:t xml:space="preserve"> note 150</w:t>
      </w:r>
      <w:r w:rsidR="005A3E7C">
        <w:rPr>
          <w:rFonts w:ascii="Times New Roman" w:hAnsi="Times New Roman" w:cs="Times New Roman"/>
        </w:rPr>
        <w:t xml:space="preserve">; </w:t>
      </w:r>
      <w:r w:rsidR="00582602">
        <w:rPr>
          <w:rFonts w:ascii="Times New Roman" w:hAnsi="Times New Roman" w:cs="Times New Roman"/>
          <w:i/>
          <w:iCs/>
        </w:rPr>
        <w:t>s</w:t>
      </w:r>
      <w:r w:rsidR="005A3E7C" w:rsidRPr="005A3E7C">
        <w:rPr>
          <w:rFonts w:ascii="Times New Roman" w:hAnsi="Times New Roman" w:cs="Times New Roman"/>
          <w:i/>
          <w:iCs/>
        </w:rPr>
        <w:t>ee also</w:t>
      </w:r>
      <w:r w:rsidR="005A3E7C">
        <w:rPr>
          <w:rFonts w:ascii="Times New Roman" w:hAnsi="Times New Roman" w:cs="Times New Roman"/>
        </w:rPr>
        <w:t xml:space="preserve">, </w:t>
      </w:r>
      <w:r w:rsidR="00A278F9">
        <w:rPr>
          <w:rFonts w:ascii="Times New Roman" w:hAnsi="Times New Roman" w:cs="Times New Roman"/>
        </w:rPr>
        <w:t>Roy</w:t>
      </w:r>
      <w:r w:rsidR="00A278F9" w:rsidRPr="009417CD">
        <w:rPr>
          <w:rFonts w:ascii="Times New Roman" w:hAnsi="Times New Roman" w:cs="Times New Roman"/>
        </w:rPr>
        <w:t xml:space="preserve">, </w:t>
      </w:r>
      <w:r w:rsidR="00A278F9" w:rsidRPr="009417CD">
        <w:rPr>
          <w:rFonts w:ascii="Times New Roman" w:hAnsi="Times New Roman" w:cs="Times New Roman"/>
          <w:i/>
          <w:iCs/>
        </w:rPr>
        <w:t>supra</w:t>
      </w:r>
      <w:r w:rsidR="00A278F9" w:rsidRPr="009417CD">
        <w:rPr>
          <w:rFonts w:ascii="Times New Roman" w:hAnsi="Times New Roman" w:cs="Times New Roman"/>
        </w:rPr>
        <w:t xml:space="preserve"> note 15</w:t>
      </w:r>
      <w:r w:rsidR="00A278F9">
        <w:rPr>
          <w:rFonts w:ascii="Times New Roman" w:hAnsi="Times New Roman" w:cs="Times New Roman"/>
        </w:rPr>
        <w:t>3</w:t>
      </w:r>
      <w:r w:rsidR="00A278F9" w:rsidRPr="009417CD">
        <w:rPr>
          <w:rFonts w:ascii="Times New Roman" w:hAnsi="Times New Roman" w:cs="Times New Roman"/>
        </w:rPr>
        <w:t>.</w:t>
      </w:r>
    </w:p>
  </w:footnote>
  <w:footnote w:id="198">
    <w:p w14:paraId="4BDC8BBF" w14:textId="211281E5" w:rsidR="00A278F9" w:rsidRDefault="00A278F9">
      <w:pPr>
        <w:pStyle w:val="FootnoteText"/>
      </w:pPr>
      <w:r>
        <w:rPr>
          <w:rStyle w:val="FootnoteReference"/>
        </w:rPr>
        <w:footnoteRef/>
      </w:r>
      <w:r>
        <w:t xml:space="preserve"> </w:t>
      </w:r>
      <w:r w:rsidRPr="005A3E7C">
        <w:rPr>
          <w:rFonts w:ascii="Times New Roman" w:hAnsi="Times New Roman" w:cs="Times New Roman"/>
          <w:i/>
          <w:iCs/>
        </w:rPr>
        <w:t>See</w:t>
      </w:r>
      <w:r>
        <w:rPr>
          <w:rFonts w:ascii="Times New Roman" w:hAnsi="Times New Roman" w:cs="Times New Roman"/>
        </w:rPr>
        <w:t xml:space="preserve"> Roy</w:t>
      </w:r>
      <w:r w:rsidRPr="009417CD">
        <w:rPr>
          <w:rFonts w:ascii="Times New Roman" w:hAnsi="Times New Roman" w:cs="Times New Roman"/>
        </w:rPr>
        <w:t xml:space="preserve">, </w:t>
      </w:r>
      <w:r w:rsidRPr="009417CD">
        <w:rPr>
          <w:rFonts w:ascii="Times New Roman" w:hAnsi="Times New Roman" w:cs="Times New Roman"/>
          <w:i/>
          <w:iCs/>
        </w:rPr>
        <w:t>supra</w:t>
      </w:r>
      <w:r w:rsidRPr="009417CD">
        <w:rPr>
          <w:rFonts w:ascii="Times New Roman" w:hAnsi="Times New Roman" w:cs="Times New Roman"/>
        </w:rPr>
        <w:t xml:space="preserve"> note 15</w:t>
      </w:r>
      <w:r>
        <w:rPr>
          <w:rFonts w:ascii="Times New Roman" w:hAnsi="Times New Roman" w:cs="Times New Roman"/>
        </w:rPr>
        <w:t>3</w:t>
      </w:r>
      <w:r w:rsidRPr="009417CD">
        <w:rPr>
          <w:rFonts w:ascii="Times New Roman" w:hAnsi="Times New Roman" w:cs="Times New Roman"/>
        </w:rPr>
        <w:t>.</w:t>
      </w:r>
    </w:p>
  </w:footnote>
  <w:footnote w:id="199">
    <w:p w14:paraId="7778E77E" w14:textId="0BD842F9" w:rsidR="00D35FD2" w:rsidRDefault="00D35FD2">
      <w:pPr>
        <w:pStyle w:val="FootnoteText"/>
      </w:pPr>
      <w:r>
        <w:rPr>
          <w:rStyle w:val="FootnoteReference"/>
        </w:rPr>
        <w:footnoteRef/>
      </w:r>
      <w:r>
        <w:t xml:space="preserve"> </w:t>
      </w:r>
      <w:r w:rsidRPr="005A3E7C">
        <w:rPr>
          <w:rFonts w:ascii="Times New Roman" w:hAnsi="Times New Roman" w:cs="Times New Roman"/>
          <w:i/>
          <w:iCs/>
        </w:rPr>
        <w:t>See</w:t>
      </w:r>
      <w:r>
        <w:rPr>
          <w:rFonts w:ascii="Times New Roman" w:hAnsi="Times New Roman" w:cs="Times New Roman"/>
        </w:rPr>
        <w:t xml:space="preserve"> Roy</w:t>
      </w:r>
      <w:r w:rsidRPr="009417CD">
        <w:rPr>
          <w:rFonts w:ascii="Times New Roman" w:hAnsi="Times New Roman" w:cs="Times New Roman"/>
        </w:rPr>
        <w:t xml:space="preserve">, </w:t>
      </w:r>
      <w:r w:rsidRPr="009417CD">
        <w:rPr>
          <w:rFonts w:ascii="Times New Roman" w:hAnsi="Times New Roman" w:cs="Times New Roman"/>
          <w:i/>
          <w:iCs/>
        </w:rPr>
        <w:t>supra</w:t>
      </w:r>
      <w:r w:rsidRPr="009417CD">
        <w:rPr>
          <w:rFonts w:ascii="Times New Roman" w:hAnsi="Times New Roman" w:cs="Times New Roman"/>
        </w:rPr>
        <w:t xml:space="preserve"> note 15</w:t>
      </w:r>
      <w:r>
        <w:rPr>
          <w:rFonts w:ascii="Times New Roman" w:hAnsi="Times New Roman" w:cs="Times New Roman"/>
        </w:rPr>
        <w:t>2</w:t>
      </w:r>
      <w:r w:rsidRPr="009417CD">
        <w:rPr>
          <w:rFonts w:ascii="Times New Roman" w:hAnsi="Times New Roman" w:cs="Times New Roman"/>
        </w:rPr>
        <w:t>.</w:t>
      </w:r>
    </w:p>
  </w:footnote>
  <w:footnote w:id="200">
    <w:p w14:paraId="1F9805DD" w14:textId="148F616A" w:rsidR="00D35FD2" w:rsidRDefault="00D35FD2">
      <w:pPr>
        <w:pStyle w:val="FootnoteText"/>
      </w:pPr>
      <w:r>
        <w:rPr>
          <w:rStyle w:val="FootnoteReference"/>
        </w:rPr>
        <w:footnoteRef/>
      </w:r>
      <w:r>
        <w:t xml:space="preserve"> </w:t>
      </w:r>
      <w:r>
        <w:rPr>
          <w:rFonts w:ascii="Times New Roman" w:hAnsi="Times New Roman" w:cs="Times New Roman"/>
          <w:i/>
          <w:iCs/>
        </w:rPr>
        <w:t>Id.</w:t>
      </w:r>
      <w:r>
        <w:rPr>
          <w:rFonts w:ascii="Times New Roman" w:hAnsi="Times New Roman" w:cs="Times New Roman"/>
        </w:rPr>
        <w:t xml:space="preserve"> </w:t>
      </w:r>
    </w:p>
  </w:footnote>
  <w:footnote w:id="201">
    <w:p w14:paraId="06DCBF4C" w14:textId="1514D47D" w:rsidR="00964AFE" w:rsidRDefault="00964AFE">
      <w:pPr>
        <w:pStyle w:val="FootnoteText"/>
      </w:pPr>
      <w:r>
        <w:rPr>
          <w:rStyle w:val="FootnoteReference"/>
        </w:rPr>
        <w:footnoteRef/>
      </w:r>
      <w:r>
        <w:t xml:space="preserve"> </w:t>
      </w:r>
      <w:r>
        <w:rPr>
          <w:rFonts w:ascii="Times New Roman" w:hAnsi="Times New Roman" w:cs="Times New Roman"/>
          <w:i/>
          <w:iCs/>
        </w:rPr>
        <w:t>Id.</w:t>
      </w:r>
    </w:p>
  </w:footnote>
  <w:footnote w:id="202">
    <w:p w14:paraId="3D94F48E" w14:textId="222EF260" w:rsidR="00964AFE" w:rsidRDefault="00964AFE">
      <w:pPr>
        <w:pStyle w:val="FootnoteText"/>
      </w:pPr>
      <w:r>
        <w:rPr>
          <w:rStyle w:val="FootnoteReference"/>
        </w:rPr>
        <w:footnoteRef/>
      </w:r>
      <w:r>
        <w:t xml:space="preserve"> </w:t>
      </w:r>
      <w:r>
        <w:rPr>
          <w:rFonts w:ascii="Times New Roman" w:hAnsi="Times New Roman" w:cs="Times New Roman"/>
          <w:i/>
          <w:iCs/>
        </w:rPr>
        <w:t>Id.</w:t>
      </w:r>
    </w:p>
  </w:footnote>
  <w:footnote w:id="203">
    <w:p w14:paraId="0A86DF13" w14:textId="1530F9BE" w:rsidR="00675E4C" w:rsidRDefault="00675E4C">
      <w:pPr>
        <w:pStyle w:val="FootnoteText"/>
      </w:pPr>
      <w:r>
        <w:rPr>
          <w:rStyle w:val="FootnoteReference"/>
        </w:rPr>
        <w:footnoteRef/>
      </w:r>
      <w:r>
        <w:t xml:space="preserve"> </w:t>
      </w:r>
      <w:r>
        <w:rPr>
          <w:rFonts w:ascii="Times New Roman" w:hAnsi="Times New Roman" w:cs="Times New Roman"/>
          <w:i/>
          <w:iCs/>
        </w:rPr>
        <w:t>Id.</w:t>
      </w:r>
    </w:p>
  </w:footnote>
  <w:footnote w:id="204">
    <w:p w14:paraId="2932EE2C" w14:textId="01ED3F01" w:rsidR="00675E4C" w:rsidRDefault="00675E4C">
      <w:pPr>
        <w:pStyle w:val="FootnoteText"/>
      </w:pPr>
      <w:r>
        <w:rPr>
          <w:rStyle w:val="FootnoteReference"/>
        </w:rPr>
        <w:footnoteRef/>
      </w:r>
      <w:r>
        <w:t xml:space="preserve"> </w:t>
      </w:r>
      <w:r>
        <w:rPr>
          <w:rFonts w:ascii="Times New Roman" w:hAnsi="Times New Roman" w:cs="Times New Roman"/>
          <w:i/>
          <w:iCs/>
        </w:rPr>
        <w:t>Id.</w:t>
      </w:r>
    </w:p>
  </w:footnote>
  <w:footnote w:id="205">
    <w:p w14:paraId="6327854C" w14:textId="4A516833" w:rsidR="00124406" w:rsidRDefault="00124406">
      <w:pPr>
        <w:pStyle w:val="FootnoteText"/>
      </w:pPr>
      <w:r>
        <w:rPr>
          <w:rStyle w:val="FootnoteReference"/>
        </w:rPr>
        <w:footnoteRef/>
      </w:r>
      <w:r>
        <w:t xml:space="preserve"> </w:t>
      </w:r>
      <w:r>
        <w:rPr>
          <w:rFonts w:ascii="Times New Roman" w:hAnsi="Times New Roman" w:cs="Times New Roman"/>
          <w:i/>
          <w:iCs/>
        </w:rPr>
        <w:t>Id.</w:t>
      </w:r>
    </w:p>
  </w:footnote>
  <w:footnote w:id="206">
    <w:p w14:paraId="7973CF3E" w14:textId="6454B0C0" w:rsidR="00651AD0" w:rsidRDefault="00651AD0">
      <w:pPr>
        <w:pStyle w:val="FootnoteText"/>
      </w:pPr>
      <w:r>
        <w:rPr>
          <w:rStyle w:val="FootnoteReference"/>
        </w:rPr>
        <w:footnoteRef/>
      </w:r>
      <w:r>
        <w:t xml:space="preserve"> </w:t>
      </w:r>
      <w:r>
        <w:rPr>
          <w:rFonts w:ascii="Times New Roman" w:hAnsi="Times New Roman" w:cs="Times New Roman"/>
          <w:i/>
          <w:iCs/>
        </w:rPr>
        <w:t>Id.</w:t>
      </w:r>
    </w:p>
  </w:footnote>
  <w:footnote w:id="207">
    <w:p w14:paraId="3BD7ACB0" w14:textId="74CAE9B1" w:rsidR="004F28D0" w:rsidRPr="00582602" w:rsidRDefault="004F28D0">
      <w:pPr>
        <w:pStyle w:val="FootnoteText"/>
        <w:rPr>
          <w:rFonts w:ascii="Times New Roman" w:hAnsi="Times New Roman" w:cs="Times New Roman"/>
        </w:rPr>
      </w:pPr>
      <w:r w:rsidRPr="00582602">
        <w:rPr>
          <w:rStyle w:val="FootnoteReference"/>
          <w:rFonts w:ascii="Times New Roman" w:hAnsi="Times New Roman" w:cs="Times New Roman"/>
        </w:rPr>
        <w:footnoteRef/>
      </w:r>
      <w:r w:rsidRPr="00582602">
        <w:rPr>
          <w:rFonts w:ascii="Times New Roman" w:hAnsi="Times New Roman" w:cs="Times New Roman"/>
        </w:rPr>
        <w:t xml:space="preserve"> </w:t>
      </w:r>
      <w:r w:rsidR="00E740F1" w:rsidRPr="00582602">
        <w:rPr>
          <w:rFonts w:ascii="Times New Roman" w:hAnsi="Times New Roman" w:cs="Times New Roman"/>
          <w:i/>
          <w:iCs/>
        </w:rPr>
        <w:t>See, e.g.</w:t>
      </w:r>
      <w:r w:rsidR="002F51FE" w:rsidRPr="00582602">
        <w:rPr>
          <w:rFonts w:ascii="Times New Roman" w:hAnsi="Times New Roman" w:cs="Times New Roman"/>
          <w:i/>
          <w:iCs/>
        </w:rPr>
        <w:t>,</w:t>
      </w:r>
      <w:r w:rsidR="002F51FE" w:rsidRPr="00582602">
        <w:rPr>
          <w:rFonts w:ascii="Times New Roman" w:hAnsi="Times New Roman" w:cs="Times New Roman"/>
        </w:rPr>
        <w:t xml:space="preserve"> </w:t>
      </w:r>
      <w:r w:rsidR="0044463F" w:rsidRPr="00582602">
        <w:rPr>
          <w:rFonts w:ascii="Times New Roman" w:hAnsi="Times New Roman" w:cs="Times New Roman"/>
          <w:i/>
          <w:iCs/>
        </w:rPr>
        <w:t xml:space="preserve">Gobeille v. Liberty Mutual Insurance </w:t>
      </w:r>
      <w:r w:rsidR="00A17B1D" w:rsidRPr="00582602">
        <w:rPr>
          <w:rFonts w:ascii="Times New Roman" w:hAnsi="Times New Roman" w:cs="Times New Roman"/>
          <w:i/>
          <w:iCs/>
        </w:rPr>
        <w:t>Co.</w:t>
      </w:r>
      <w:r w:rsidR="00A17B1D" w:rsidRPr="00582602">
        <w:rPr>
          <w:rFonts w:ascii="Times New Roman" w:hAnsi="Times New Roman" w:cs="Times New Roman"/>
        </w:rPr>
        <w:t>, 577 U.S. 312</w:t>
      </w:r>
      <w:r w:rsidR="00F57295" w:rsidRPr="00582602">
        <w:rPr>
          <w:rFonts w:ascii="Times New Roman" w:hAnsi="Times New Roman" w:cs="Times New Roman"/>
        </w:rPr>
        <w:t xml:space="preserve">, </w:t>
      </w:r>
      <w:r w:rsidR="00F154A7" w:rsidRPr="00582602">
        <w:rPr>
          <w:rFonts w:ascii="Times New Roman" w:hAnsi="Times New Roman" w:cs="Times New Roman"/>
        </w:rPr>
        <w:t xml:space="preserve">325-327 (2016). </w:t>
      </w:r>
    </w:p>
  </w:footnote>
  <w:footnote w:id="208">
    <w:p w14:paraId="35D9E9B6" w14:textId="0FC83651" w:rsidR="00D9544C" w:rsidRPr="00582602" w:rsidRDefault="00D9544C">
      <w:pPr>
        <w:pStyle w:val="FootnoteText"/>
        <w:rPr>
          <w:rFonts w:ascii="Times New Roman" w:hAnsi="Times New Roman" w:cs="Times New Roman"/>
        </w:rPr>
      </w:pPr>
      <w:r w:rsidRPr="00582602">
        <w:rPr>
          <w:rStyle w:val="FootnoteReference"/>
          <w:rFonts w:ascii="Times New Roman" w:hAnsi="Times New Roman" w:cs="Times New Roman"/>
        </w:rPr>
        <w:footnoteRef/>
      </w:r>
      <w:r w:rsidRPr="00582602">
        <w:rPr>
          <w:rFonts w:ascii="Times New Roman" w:hAnsi="Times New Roman" w:cs="Times New Roman"/>
        </w:rPr>
        <w:t xml:space="preserve"> </w:t>
      </w:r>
      <w:r w:rsidRPr="00582602">
        <w:rPr>
          <w:rFonts w:ascii="Times New Roman" w:hAnsi="Times New Roman" w:cs="Times New Roman"/>
          <w:i/>
          <w:iCs/>
        </w:rPr>
        <w:t>See</w:t>
      </w:r>
      <w:r w:rsidRPr="00582602">
        <w:rPr>
          <w:rFonts w:ascii="Times New Roman" w:hAnsi="Times New Roman" w:cs="Times New Roman"/>
        </w:rPr>
        <w:t xml:space="preserve"> Roy, </w:t>
      </w:r>
      <w:r w:rsidRPr="00582602">
        <w:rPr>
          <w:rFonts w:ascii="Times New Roman" w:hAnsi="Times New Roman" w:cs="Times New Roman"/>
          <w:i/>
          <w:iCs/>
        </w:rPr>
        <w:t>supra</w:t>
      </w:r>
      <w:r w:rsidRPr="00582602">
        <w:rPr>
          <w:rFonts w:ascii="Times New Roman" w:hAnsi="Times New Roman" w:cs="Times New Roman"/>
        </w:rPr>
        <w:t xml:space="preserve"> note 152.</w:t>
      </w:r>
    </w:p>
  </w:footnote>
  <w:footnote w:id="209">
    <w:p w14:paraId="04EC724F" w14:textId="7B0CAF7B" w:rsidR="00F73894" w:rsidRPr="00582602" w:rsidRDefault="00F73894">
      <w:pPr>
        <w:pStyle w:val="FootnoteText"/>
        <w:rPr>
          <w:rFonts w:ascii="Times New Roman" w:hAnsi="Times New Roman" w:cs="Times New Roman"/>
        </w:rPr>
      </w:pPr>
      <w:r w:rsidRPr="00582602">
        <w:rPr>
          <w:rStyle w:val="FootnoteReference"/>
          <w:rFonts w:ascii="Times New Roman" w:hAnsi="Times New Roman" w:cs="Times New Roman"/>
        </w:rPr>
        <w:footnoteRef/>
      </w:r>
      <w:r w:rsidRPr="00582602">
        <w:rPr>
          <w:rFonts w:ascii="Times New Roman" w:hAnsi="Times New Roman" w:cs="Times New Roman"/>
        </w:rPr>
        <w:t xml:space="preserve"> </w:t>
      </w:r>
      <w:r w:rsidR="000B1AB4" w:rsidRPr="00582602">
        <w:rPr>
          <w:rFonts w:ascii="Times New Roman" w:hAnsi="Times New Roman" w:cs="Times New Roman"/>
          <w:i/>
          <w:iCs/>
        </w:rPr>
        <w:t>Id.</w:t>
      </w:r>
      <w:r w:rsidRPr="00582602">
        <w:rPr>
          <w:rFonts w:ascii="Times New Roman" w:hAnsi="Times New Roman" w:cs="Times New Roman"/>
        </w:rPr>
        <w:t xml:space="preserve"> </w:t>
      </w:r>
    </w:p>
  </w:footnote>
  <w:footnote w:id="210">
    <w:p w14:paraId="1D823EC2" w14:textId="28C96E45" w:rsidR="000B1AB4" w:rsidRPr="00582602" w:rsidRDefault="000B1AB4">
      <w:pPr>
        <w:pStyle w:val="FootnoteText"/>
        <w:rPr>
          <w:rFonts w:ascii="Times New Roman" w:hAnsi="Times New Roman" w:cs="Times New Roman"/>
        </w:rPr>
      </w:pPr>
      <w:r w:rsidRPr="00582602">
        <w:rPr>
          <w:rStyle w:val="FootnoteReference"/>
          <w:rFonts w:ascii="Times New Roman" w:hAnsi="Times New Roman" w:cs="Times New Roman"/>
        </w:rPr>
        <w:footnoteRef/>
      </w:r>
      <w:r w:rsidRPr="00582602">
        <w:rPr>
          <w:rFonts w:ascii="Times New Roman" w:hAnsi="Times New Roman" w:cs="Times New Roman"/>
        </w:rPr>
        <w:t xml:space="preserve"> </w:t>
      </w:r>
      <w:r w:rsidRPr="00582602">
        <w:rPr>
          <w:rFonts w:ascii="Times New Roman" w:hAnsi="Times New Roman" w:cs="Times New Roman"/>
          <w:i/>
          <w:iCs/>
        </w:rPr>
        <w:t>Id.</w:t>
      </w:r>
      <w:r w:rsidRPr="00582602">
        <w:rPr>
          <w:rFonts w:ascii="Times New Roman" w:hAnsi="Times New Roman" w:cs="Times New Roman"/>
        </w:rPr>
        <w:t xml:space="preserve"> </w:t>
      </w:r>
    </w:p>
  </w:footnote>
  <w:footnote w:id="211">
    <w:p w14:paraId="247A9B64" w14:textId="750761BE" w:rsidR="000B1AB4" w:rsidRPr="00582602" w:rsidRDefault="000B1AB4">
      <w:pPr>
        <w:pStyle w:val="FootnoteText"/>
        <w:rPr>
          <w:rFonts w:ascii="Times New Roman" w:hAnsi="Times New Roman" w:cs="Times New Roman"/>
          <w:i/>
          <w:iCs/>
        </w:rPr>
      </w:pPr>
      <w:r w:rsidRPr="00582602">
        <w:rPr>
          <w:rStyle w:val="FootnoteReference"/>
          <w:rFonts w:ascii="Times New Roman" w:hAnsi="Times New Roman" w:cs="Times New Roman"/>
        </w:rPr>
        <w:footnoteRef/>
      </w:r>
      <w:r w:rsidRPr="00582602">
        <w:rPr>
          <w:rFonts w:ascii="Times New Roman" w:hAnsi="Times New Roman" w:cs="Times New Roman"/>
        </w:rPr>
        <w:t xml:space="preserve"> </w:t>
      </w:r>
      <w:r w:rsidRPr="00582602">
        <w:rPr>
          <w:rFonts w:ascii="Times New Roman" w:hAnsi="Times New Roman" w:cs="Times New Roman"/>
          <w:i/>
          <w:iCs/>
        </w:rPr>
        <w:t>Id.</w:t>
      </w:r>
    </w:p>
    <w:p w14:paraId="373DA272" w14:textId="528DC2F5" w:rsidR="000B1AB4" w:rsidRDefault="000B1AB4">
      <w:pPr>
        <w:pStyle w:val="FootnoteText"/>
        <w:rPr>
          <w:rFonts w:ascii="Times New Roman" w:hAnsi="Times New Roman" w:cs="Times New Roman"/>
          <w:i/>
          <w:iCs/>
        </w:rPr>
      </w:pPr>
    </w:p>
    <w:p w14:paraId="237D1F27" w14:textId="1220CF19" w:rsidR="000B1AB4" w:rsidRDefault="000B1AB4">
      <w:pPr>
        <w:pStyle w:val="FootnoteText"/>
        <w:rPr>
          <w:rFonts w:ascii="Times New Roman" w:hAnsi="Times New Roman" w:cs="Times New Roman"/>
          <w:i/>
          <w:iCs/>
        </w:rPr>
      </w:pPr>
    </w:p>
    <w:p w14:paraId="0FB5A0D7" w14:textId="77777777" w:rsidR="000B1AB4" w:rsidRDefault="000B1AB4">
      <w:pPr>
        <w:pStyle w:val="FootnoteText"/>
      </w:pPr>
    </w:p>
  </w:footnote>
  <w:footnote w:id="212">
    <w:p w14:paraId="4C428AD8" w14:textId="7F6218E5" w:rsidR="008A6785" w:rsidRPr="00F429E0" w:rsidRDefault="008A6785">
      <w:pPr>
        <w:pStyle w:val="FootnoteText"/>
        <w:rPr>
          <w:rFonts w:ascii="Times New Roman" w:hAnsi="Times New Roman" w:cs="Times New Roman"/>
        </w:rPr>
      </w:pPr>
      <w:r>
        <w:rPr>
          <w:rStyle w:val="FootnoteReference"/>
        </w:rPr>
        <w:footnoteRef/>
      </w:r>
      <w:r>
        <w:t xml:space="preserve"> </w:t>
      </w:r>
      <w:r w:rsidRPr="00F429E0">
        <w:rPr>
          <w:rFonts w:ascii="Times New Roman" w:hAnsi="Times New Roman" w:cs="Times New Roman"/>
        </w:rPr>
        <w:t xml:space="preserve">Ryan Neuhofel, </w:t>
      </w:r>
      <w:r w:rsidR="00F35874" w:rsidRPr="00F429E0">
        <w:rPr>
          <w:rFonts w:ascii="Times New Roman" w:hAnsi="Times New Roman" w:cs="Times New Roman"/>
          <w:i/>
          <w:iCs/>
        </w:rPr>
        <w:t>NeuCare: Our Story</w:t>
      </w:r>
      <w:r w:rsidR="00F35874" w:rsidRPr="00F429E0">
        <w:rPr>
          <w:rFonts w:ascii="Times New Roman" w:hAnsi="Times New Roman" w:cs="Times New Roman"/>
        </w:rPr>
        <w:t xml:space="preserve">, </w:t>
      </w:r>
      <w:r w:rsidR="00885206" w:rsidRPr="00F429E0">
        <w:rPr>
          <w:rFonts w:ascii="Times New Roman" w:hAnsi="Times New Roman" w:cs="Times New Roman"/>
        </w:rPr>
        <w:t xml:space="preserve">http://neucare.net/about. </w:t>
      </w:r>
    </w:p>
  </w:footnote>
  <w:footnote w:id="213">
    <w:p w14:paraId="04DFBF6A" w14:textId="1C11241B" w:rsidR="0054669F" w:rsidRPr="00F429E0" w:rsidRDefault="0054669F">
      <w:pPr>
        <w:pStyle w:val="FootnoteText"/>
        <w:rPr>
          <w:rFonts w:ascii="Times New Roman" w:hAnsi="Times New Roman" w:cs="Times New Roman"/>
        </w:rPr>
      </w:pPr>
      <w:r w:rsidRPr="00F429E0">
        <w:rPr>
          <w:rStyle w:val="FootnoteReference"/>
          <w:rFonts w:ascii="Times New Roman" w:hAnsi="Times New Roman" w:cs="Times New Roman"/>
        </w:rPr>
        <w:footnoteRef/>
      </w:r>
      <w:r w:rsidRPr="00F429E0">
        <w:rPr>
          <w:rFonts w:ascii="Times New Roman" w:hAnsi="Times New Roman" w:cs="Times New Roman"/>
        </w:rPr>
        <w:t xml:space="preserve"> </w:t>
      </w:r>
      <w:r w:rsidR="001F5D32" w:rsidRPr="00F429E0">
        <w:rPr>
          <w:rFonts w:ascii="Times New Roman" w:hAnsi="Times New Roman" w:cs="Times New Roman"/>
        </w:rPr>
        <w:t>Interview by</w:t>
      </w:r>
      <w:r w:rsidR="006D7E9A" w:rsidRPr="00F429E0">
        <w:rPr>
          <w:rFonts w:ascii="Times New Roman" w:hAnsi="Times New Roman" w:cs="Times New Roman"/>
        </w:rPr>
        <w:t xml:space="preserve"> Zubin Damania</w:t>
      </w:r>
      <w:r w:rsidR="00364276" w:rsidRPr="00F429E0">
        <w:rPr>
          <w:rFonts w:ascii="Times New Roman" w:hAnsi="Times New Roman" w:cs="Times New Roman"/>
        </w:rPr>
        <w:t xml:space="preserve"> with Ryan Neuhofel, </w:t>
      </w:r>
      <w:r w:rsidR="009E33A7" w:rsidRPr="00F429E0">
        <w:rPr>
          <w:rFonts w:ascii="Times New Roman" w:hAnsi="Times New Roman" w:cs="Times New Roman"/>
        </w:rPr>
        <w:t>Primary Care Physician and Founder of NeuCare</w:t>
      </w:r>
      <w:r w:rsidR="00F429E0" w:rsidRPr="00F429E0">
        <w:rPr>
          <w:rFonts w:ascii="Times New Roman" w:hAnsi="Times New Roman" w:cs="Times New Roman"/>
        </w:rPr>
        <w:t>, in Las Vegas, NV. (Oct. 2, 2017).</w:t>
      </w:r>
      <w:r w:rsidR="009E33A7" w:rsidRPr="00F429E0">
        <w:rPr>
          <w:rFonts w:ascii="Times New Roman" w:hAnsi="Times New Roman" w:cs="Times New Roman"/>
        </w:rPr>
        <w:t xml:space="preserve"> </w:t>
      </w:r>
    </w:p>
  </w:footnote>
  <w:footnote w:id="214">
    <w:p w14:paraId="6FC70D38" w14:textId="100773EA" w:rsidR="008F60EB" w:rsidRDefault="008F60EB">
      <w:pPr>
        <w:pStyle w:val="FootnoteText"/>
      </w:pPr>
      <w:r>
        <w:rPr>
          <w:rStyle w:val="FootnoteReference"/>
        </w:rPr>
        <w:footnoteRef/>
      </w:r>
      <w:r>
        <w:t xml:space="preserve"> </w:t>
      </w:r>
      <w:r w:rsidRPr="008F60EB">
        <w:rPr>
          <w:rFonts w:ascii="Times New Roman" w:hAnsi="Times New Roman" w:cs="Times New Roman"/>
          <w:i/>
          <w:iCs/>
        </w:rPr>
        <w:t>Id.</w:t>
      </w:r>
    </w:p>
  </w:footnote>
  <w:footnote w:id="215">
    <w:p w14:paraId="73F8F53C" w14:textId="1C7CAB2E" w:rsidR="008F60EB" w:rsidRDefault="008F60EB">
      <w:pPr>
        <w:pStyle w:val="FootnoteText"/>
      </w:pPr>
      <w:r>
        <w:rPr>
          <w:rStyle w:val="FootnoteReference"/>
        </w:rPr>
        <w:footnoteRef/>
      </w:r>
      <w:r>
        <w:t xml:space="preserve"> </w:t>
      </w:r>
      <w:r w:rsidRPr="008F60EB">
        <w:rPr>
          <w:rFonts w:ascii="Times New Roman" w:hAnsi="Times New Roman" w:cs="Times New Roman"/>
          <w:i/>
          <w:iCs/>
        </w:rPr>
        <w:t>Id.</w:t>
      </w:r>
    </w:p>
  </w:footnote>
  <w:footnote w:id="216">
    <w:p w14:paraId="7ACC4A26" w14:textId="43F9A98C" w:rsidR="00260DDF" w:rsidRDefault="00260DDF">
      <w:pPr>
        <w:pStyle w:val="FootnoteText"/>
      </w:pPr>
      <w:r>
        <w:rPr>
          <w:rStyle w:val="FootnoteReference"/>
        </w:rPr>
        <w:footnoteRef/>
      </w:r>
      <w:r>
        <w:t xml:space="preserve"> </w:t>
      </w:r>
      <w:r w:rsidRPr="008F60EB">
        <w:rPr>
          <w:rFonts w:ascii="Times New Roman" w:hAnsi="Times New Roman" w:cs="Times New Roman"/>
          <w:i/>
          <w:iCs/>
        </w:rPr>
        <w:t>Id.</w:t>
      </w:r>
    </w:p>
  </w:footnote>
  <w:footnote w:id="217">
    <w:p w14:paraId="7FCEAA42" w14:textId="2044B4A6" w:rsidR="00530B79" w:rsidRDefault="00530B79">
      <w:pPr>
        <w:pStyle w:val="FootnoteText"/>
      </w:pPr>
      <w:r>
        <w:rPr>
          <w:rStyle w:val="FootnoteReference"/>
        </w:rPr>
        <w:footnoteRef/>
      </w:r>
      <w:r>
        <w:t xml:space="preserve"> </w:t>
      </w:r>
      <w:r w:rsidRPr="008F60EB">
        <w:rPr>
          <w:rFonts w:ascii="Times New Roman" w:hAnsi="Times New Roman" w:cs="Times New Roman"/>
          <w:i/>
          <w:iCs/>
        </w:rPr>
        <w:t>Id.</w:t>
      </w:r>
    </w:p>
  </w:footnote>
  <w:footnote w:id="218">
    <w:p w14:paraId="676FBA34" w14:textId="5F9BE9CA" w:rsidR="00530B79" w:rsidRDefault="00530B79">
      <w:pPr>
        <w:pStyle w:val="FootnoteText"/>
      </w:pPr>
      <w:r>
        <w:rPr>
          <w:rStyle w:val="FootnoteReference"/>
        </w:rPr>
        <w:footnoteRef/>
      </w:r>
      <w:r>
        <w:t xml:space="preserve"> </w:t>
      </w:r>
      <w:r w:rsidRPr="008F60EB">
        <w:rPr>
          <w:rFonts w:ascii="Times New Roman" w:hAnsi="Times New Roman" w:cs="Times New Roman"/>
          <w:i/>
          <w:iCs/>
        </w:rPr>
        <w:t>Id.</w:t>
      </w:r>
    </w:p>
  </w:footnote>
  <w:footnote w:id="219">
    <w:p w14:paraId="01B545D4" w14:textId="08EC787F" w:rsidR="0029398F" w:rsidRDefault="0029398F">
      <w:pPr>
        <w:pStyle w:val="FootnoteText"/>
      </w:pPr>
      <w:r>
        <w:rPr>
          <w:rStyle w:val="FootnoteReference"/>
        </w:rPr>
        <w:footnoteRef/>
      </w:r>
      <w:r>
        <w:t xml:space="preserve"> </w:t>
      </w:r>
      <w:r w:rsidRPr="005A3E7C">
        <w:rPr>
          <w:rFonts w:ascii="Times New Roman" w:hAnsi="Times New Roman" w:cs="Times New Roman"/>
          <w:i/>
          <w:iCs/>
        </w:rPr>
        <w:t>See</w:t>
      </w:r>
      <w:r>
        <w:rPr>
          <w:rFonts w:ascii="Times New Roman" w:hAnsi="Times New Roman" w:cs="Times New Roman"/>
        </w:rPr>
        <w:t xml:space="preserve"> Neuhofel</w:t>
      </w:r>
      <w:r w:rsidRPr="009417CD">
        <w:rPr>
          <w:rFonts w:ascii="Times New Roman" w:hAnsi="Times New Roman" w:cs="Times New Roman"/>
        </w:rPr>
        <w:t xml:space="preserve">, </w:t>
      </w:r>
      <w:r w:rsidRPr="009417CD">
        <w:rPr>
          <w:rFonts w:ascii="Times New Roman" w:hAnsi="Times New Roman" w:cs="Times New Roman"/>
          <w:i/>
          <w:iCs/>
        </w:rPr>
        <w:t>supra</w:t>
      </w:r>
      <w:r w:rsidRPr="009417CD">
        <w:rPr>
          <w:rFonts w:ascii="Times New Roman" w:hAnsi="Times New Roman" w:cs="Times New Roman"/>
        </w:rPr>
        <w:t xml:space="preserve"> note 15</w:t>
      </w:r>
      <w:r>
        <w:rPr>
          <w:rFonts w:ascii="Times New Roman" w:hAnsi="Times New Roman" w:cs="Times New Roman"/>
        </w:rPr>
        <w:t>4</w:t>
      </w:r>
      <w:r w:rsidRPr="009417CD">
        <w:rPr>
          <w:rFonts w:ascii="Times New Roman" w:hAnsi="Times New Roman" w:cs="Times New Roman"/>
        </w:rPr>
        <w:t>.</w:t>
      </w:r>
    </w:p>
  </w:footnote>
  <w:footnote w:id="220">
    <w:p w14:paraId="0F790185" w14:textId="5C9A6DE7" w:rsidR="005F63F5" w:rsidRDefault="005F63F5">
      <w:pPr>
        <w:pStyle w:val="FootnoteText"/>
      </w:pPr>
      <w:r>
        <w:rPr>
          <w:rStyle w:val="FootnoteReference"/>
        </w:rPr>
        <w:footnoteRef/>
      </w:r>
      <w:r>
        <w:t xml:space="preserve"> </w:t>
      </w:r>
      <w:r w:rsidRPr="005F63F5">
        <w:rPr>
          <w:rFonts w:ascii="Times New Roman" w:hAnsi="Times New Roman" w:cs="Times New Roman"/>
          <w:i/>
          <w:iCs/>
        </w:rPr>
        <w:t>Id.</w:t>
      </w:r>
      <w:r>
        <w:t xml:space="preserve"> </w:t>
      </w:r>
    </w:p>
  </w:footnote>
  <w:footnote w:id="221">
    <w:p w14:paraId="11959D9A" w14:textId="1E63D677" w:rsidR="00F3442C" w:rsidRDefault="00F3442C">
      <w:pPr>
        <w:pStyle w:val="FootnoteText"/>
      </w:pPr>
      <w:r>
        <w:rPr>
          <w:rStyle w:val="FootnoteReference"/>
        </w:rPr>
        <w:footnoteRef/>
      </w:r>
      <w:r>
        <w:t xml:space="preserve"> </w:t>
      </w:r>
      <w:r w:rsidRPr="005D3244">
        <w:rPr>
          <w:rFonts w:ascii="Times New Roman" w:hAnsi="Times New Roman" w:cs="Times New Roman"/>
          <w:i/>
          <w:iCs/>
        </w:rPr>
        <w:t>See</w:t>
      </w:r>
      <w:r w:rsidR="00AB6811" w:rsidRPr="005D3244">
        <w:rPr>
          <w:rFonts w:ascii="Times New Roman" w:hAnsi="Times New Roman" w:cs="Times New Roman"/>
        </w:rPr>
        <w:t xml:space="preserve"> Brown &amp; King, </w:t>
      </w:r>
      <w:r w:rsidR="00AB6811" w:rsidRPr="005D3244">
        <w:rPr>
          <w:rFonts w:ascii="Times New Roman" w:hAnsi="Times New Roman" w:cs="Times New Roman"/>
          <w:i/>
          <w:iCs/>
        </w:rPr>
        <w:t>supra</w:t>
      </w:r>
      <w:r w:rsidR="00AB6811" w:rsidRPr="005D3244">
        <w:rPr>
          <w:rFonts w:ascii="Times New Roman" w:hAnsi="Times New Roman" w:cs="Times New Roman"/>
        </w:rPr>
        <w:t xml:space="preserve"> note 15, at</w:t>
      </w:r>
      <w:r w:rsidR="005D3244" w:rsidRPr="005D3244">
        <w:rPr>
          <w:rFonts w:ascii="Times New Roman" w:hAnsi="Times New Roman" w:cs="Times New Roman"/>
        </w:rPr>
        <w:t xml:space="preserve"> 88-91.</w:t>
      </w:r>
      <w:r w:rsidR="00AB6811">
        <w:t xml:space="preserve"> </w:t>
      </w:r>
    </w:p>
  </w:footnote>
  <w:footnote w:id="222">
    <w:p w14:paraId="428F414D" w14:textId="4119F94B" w:rsidR="00334316" w:rsidRDefault="00334316">
      <w:pPr>
        <w:pStyle w:val="FootnoteText"/>
      </w:pPr>
      <w:r>
        <w:rPr>
          <w:rStyle w:val="FootnoteReference"/>
        </w:rPr>
        <w:footnoteRef/>
      </w:r>
      <w:r>
        <w:t xml:space="preserve"> </w:t>
      </w:r>
      <w:r w:rsidR="00060B4E" w:rsidRPr="005A3E7C">
        <w:rPr>
          <w:rFonts w:ascii="Times New Roman" w:hAnsi="Times New Roman" w:cs="Times New Roman"/>
          <w:i/>
          <w:iCs/>
        </w:rPr>
        <w:t>See</w:t>
      </w:r>
      <w:r w:rsidR="00060B4E">
        <w:rPr>
          <w:rFonts w:ascii="Times New Roman" w:hAnsi="Times New Roman" w:cs="Times New Roman"/>
        </w:rPr>
        <w:t xml:space="preserve"> Neuhofel</w:t>
      </w:r>
      <w:r w:rsidR="00060B4E" w:rsidRPr="009417CD">
        <w:rPr>
          <w:rFonts w:ascii="Times New Roman" w:hAnsi="Times New Roman" w:cs="Times New Roman"/>
        </w:rPr>
        <w:t xml:space="preserve">, </w:t>
      </w:r>
      <w:r w:rsidR="00060B4E" w:rsidRPr="009417CD">
        <w:rPr>
          <w:rFonts w:ascii="Times New Roman" w:hAnsi="Times New Roman" w:cs="Times New Roman"/>
          <w:i/>
          <w:iCs/>
        </w:rPr>
        <w:t>supra</w:t>
      </w:r>
      <w:r w:rsidR="00060B4E" w:rsidRPr="009417CD">
        <w:rPr>
          <w:rFonts w:ascii="Times New Roman" w:hAnsi="Times New Roman" w:cs="Times New Roman"/>
        </w:rPr>
        <w:t xml:space="preserve"> note 15</w:t>
      </w:r>
      <w:r w:rsidR="00060B4E">
        <w:rPr>
          <w:rFonts w:ascii="Times New Roman" w:hAnsi="Times New Roman" w:cs="Times New Roman"/>
        </w:rPr>
        <w:t>4</w:t>
      </w:r>
      <w:r w:rsidR="00060B4E" w:rsidRPr="009417CD">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A05AB"/>
    <w:multiLevelType w:val="hybridMultilevel"/>
    <w:tmpl w:val="CD7EEB7C"/>
    <w:lvl w:ilvl="0" w:tplc="BBFEA1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481685"/>
    <w:multiLevelType w:val="hybridMultilevel"/>
    <w:tmpl w:val="DE668FC8"/>
    <w:lvl w:ilvl="0" w:tplc="DC0A26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C4426"/>
    <w:multiLevelType w:val="hybridMultilevel"/>
    <w:tmpl w:val="71C4CFFE"/>
    <w:lvl w:ilvl="0" w:tplc="536E2C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8A73E1"/>
    <w:multiLevelType w:val="hybridMultilevel"/>
    <w:tmpl w:val="AE64AF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B3DA4"/>
    <w:multiLevelType w:val="hybridMultilevel"/>
    <w:tmpl w:val="97ECB350"/>
    <w:lvl w:ilvl="0" w:tplc="69CE6A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0D254A"/>
    <w:multiLevelType w:val="hybridMultilevel"/>
    <w:tmpl w:val="340AE7C8"/>
    <w:lvl w:ilvl="0" w:tplc="3B767BBA">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785876"/>
    <w:multiLevelType w:val="hybridMultilevel"/>
    <w:tmpl w:val="C3DC844E"/>
    <w:lvl w:ilvl="0" w:tplc="42FC2A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03890"/>
    <w:multiLevelType w:val="hybridMultilevel"/>
    <w:tmpl w:val="F2EABEA6"/>
    <w:lvl w:ilvl="0" w:tplc="7366A9CE">
      <w:start w:val="1"/>
      <w:numFmt w:val="low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477FE"/>
    <w:multiLevelType w:val="hybridMultilevel"/>
    <w:tmpl w:val="258A7C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A7C29"/>
    <w:multiLevelType w:val="hybridMultilevel"/>
    <w:tmpl w:val="41D86C8C"/>
    <w:lvl w:ilvl="0" w:tplc="07C2F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462A69"/>
    <w:multiLevelType w:val="hybridMultilevel"/>
    <w:tmpl w:val="C862FD10"/>
    <w:lvl w:ilvl="0" w:tplc="8FD448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A47014D"/>
    <w:multiLevelType w:val="hybridMultilevel"/>
    <w:tmpl w:val="49BC0602"/>
    <w:lvl w:ilvl="0" w:tplc="9528CC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AB2B39"/>
    <w:multiLevelType w:val="hybridMultilevel"/>
    <w:tmpl w:val="937A2646"/>
    <w:lvl w:ilvl="0" w:tplc="13ACFE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2"/>
  </w:num>
  <w:num w:numId="4">
    <w:abstractNumId w:val="12"/>
  </w:num>
  <w:num w:numId="5">
    <w:abstractNumId w:val="7"/>
  </w:num>
  <w:num w:numId="6">
    <w:abstractNumId w:val="4"/>
  </w:num>
  <w:num w:numId="7">
    <w:abstractNumId w:val="1"/>
  </w:num>
  <w:num w:numId="8">
    <w:abstractNumId w:val="9"/>
  </w:num>
  <w:num w:numId="9">
    <w:abstractNumId w:val="11"/>
  </w:num>
  <w:num w:numId="10">
    <w:abstractNumId w:val="10"/>
  </w:num>
  <w:num w:numId="11">
    <w:abstractNumId w:val="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39D"/>
    <w:rsid w:val="0000019D"/>
    <w:rsid w:val="000015FE"/>
    <w:rsid w:val="00001CBC"/>
    <w:rsid w:val="0000273C"/>
    <w:rsid w:val="000027D9"/>
    <w:rsid w:val="00002992"/>
    <w:rsid w:val="00003F73"/>
    <w:rsid w:val="0000524C"/>
    <w:rsid w:val="00005672"/>
    <w:rsid w:val="000061B4"/>
    <w:rsid w:val="000069CC"/>
    <w:rsid w:val="00007A88"/>
    <w:rsid w:val="0001319D"/>
    <w:rsid w:val="00013C40"/>
    <w:rsid w:val="00013F7F"/>
    <w:rsid w:val="00014332"/>
    <w:rsid w:val="0001472E"/>
    <w:rsid w:val="000156B4"/>
    <w:rsid w:val="000165DA"/>
    <w:rsid w:val="000166A6"/>
    <w:rsid w:val="00016C64"/>
    <w:rsid w:val="00017B87"/>
    <w:rsid w:val="00020A1D"/>
    <w:rsid w:val="00021366"/>
    <w:rsid w:val="000213AD"/>
    <w:rsid w:val="00021720"/>
    <w:rsid w:val="0002204F"/>
    <w:rsid w:val="00022533"/>
    <w:rsid w:val="00022C66"/>
    <w:rsid w:val="000230B7"/>
    <w:rsid w:val="0002373B"/>
    <w:rsid w:val="000242A9"/>
    <w:rsid w:val="000242AB"/>
    <w:rsid w:val="00024438"/>
    <w:rsid w:val="000245D5"/>
    <w:rsid w:val="00024C6A"/>
    <w:rsid w:val="00024EBE"/>
    <w:rsid w:val="00026C1B"/>
    <w:rsid w:val="00027C61"/>
    <w:rsid w:val="000303F2"/>
    <w:rsid w:val="0003149C"/>
    <w:rsid w:val="00031811"/>
    <w:rsid w:val="00031B6E"/>
    <w:rsid w:val="00032A01"/>
    <w:rsid w:val="000333C2"/>
    <w:rsid w:val="00033DC0"/>
    <w:rsid w:val="000357B2"/>
    <w:rsid w:val="00036A5F"/>
    <w:rsid w:val="00037CB2"/>
    <w:rsid w:val="00040F36"/>
    <w:rsid w:val="000416BD"/>
    <w:rsid w:val="00041AAC"/>
    <w:rsid w:val="00042869"/>
    <w:rsid w:val="00043CDF"/>
    <w:rsid w:val="00043F12"/>
    <w:rsid w:val="00045032"/>
    <w:rsid w:val="00046354"/>
    <w:rsid w:val="000464BE"/>
    <w:rsid w:val="000466E9"/>
    <w:rsid w:val="00047145"/>
    <w:rsid w:val="0005072D"/>
    <w:rsid w:val="0005171A"/>
    <w:rsid w:val="00051EF9"/>
    <w:rsid w:val="000522E8"/>
    <w:rsid w:val="00052585"/>
    <w:rsid w:val="00052D85"/>
    <w:rsid w:val="00053C31"/>
    <w:rsid w:val="00054135"/>
    <w:rsid w:val="00054DE5"/>
    <w:rsid w:val="0005609D"/>
    <w:rsid w:val="00056141"/>
    <w:rsid w:val="00057524"/>
    <w:rsid w:val="00057C51"/>
    <w:rsid w:val="000609FD"/>
    <w:rsid w:val="00060B4E"/>
    <w:rsid w:val="00060CC4"/>
    <w:rsid w:val="00061BDA"/>
    <w:rsid w:val="000628D7"/>
    <w:rsid w:val="00062F3A"/>
    <w:rsid w:val="00063071"/>
    <w:rsid w:val="000631BD"/>
    <w:rsid w:val="000631D5"/>
    <w:rsid w:val="00063654"/>
    <w:rsid w:val="00064074"/>
    <w:rsid w:val="00064087"/>
    <w:rsid w:val="0006453E"/>
    <w:rsid w:val="00064639"/>
    <w:rsid w:val="00065A2D"/>
    <w:rsid w:val="00065F5B"/>
    <w:rsid w:val="000667FC"/>
    <w:rsid w:val="000669A2"/>
    <w:rsid w:val="00067440"/>
    <w:rsid w:val="00070AE0"/>
    <w:rsid w:val="00070DB3"/>
    <w:rsid w:val="0007132D"/>
    <w:rsid w:val="000713B2"/>
    <w:rsid w:val="0007149B"/>
    <w:rsid w:val="00071D1F"/>
    <w:rsid w:val="00072F4C"/>
    <w:rsid w:val="000733DB"/>
    <w:rsid w:val="000735DE"/>
    <w:rsid w:val="00074F50"/>
    <w:rsid w:val="0007536A"/>
    <w:rsid w:val="00076AEC"/>
    <w:rsid w:val="00077F42"/>
    <w:rsid w:val="00080542"/>
    <w:rsid w:val="00080AD3"/>
    <w:rsid w:val="00082215"/>
    <w:rsid w:val="00082A67"/>
    <w:rsid w:val="00082F1C"/>
    <w:rsid w:val="00083CE7"/>
    <w:rsid w:val="00083D91"/>
    <w:rsid w:val="00084829"/>
    <w:rsid w:val="00085432"/>
    <w:rsid w:val="0008559C"/>
    <w:rsid w:val="00085827"/>
    <w:rsid w:val="0008719B"/>
    <w:rsid w:val="000872FD"/>
    <w:rsid w:val="000876AD"/>
    <w:rsid w:val="00090E00"/>
    <w:rsid w:val="00090E73"/>
    <w:rsid w:val="000912E0"/>
    <w:rsid w:val="000915A9"/>
    <w:rsid w:val="00092A98"/>
    <w:rsid w:val="00092ADE"/>
    <w:rsid w:val="00092C1C"/>
    <w:rsid w:val="00093769"/>
    <w:rsid w:val="00094541"/>
    <w:rsid w:val="00094C22"/>
    <w:rsid w:val="00094DAA"/>
    <w:rsid w:val="0009561B"/>
    <w:rsid w:val="000957CA"/>
    <w:rsid w:val="00095DC2"/>
    <w:rsid w:val="00096630"/>
    <w:rsid w:val="00096CB6"/>
    <w:rsid w:val="00097643"/>
    <w:rsid w:val="00097B54"/>
    <w:rsid w:val="000A086B"/>
    <w:rsid w:val="000A0D87"/>
    <w:rsid w:val="000A10DE"/>
    <w:rsid w:val="000A1980"/>
    <w:rsid w:val="000A1F79"/>
    <w:rsid w:val="000A2894"/>
    <w:rsid w:val="000A2BA9"/>
    <w:rsid w:val="000A2F06"/>
    <w:rsid w:val="000A3D2E"/>
    <w:rsid w:val="000A3E93"/>
    <w:rsid w:val="000A43A7"/>
    <w:rsid w:val="000A46E0"/>
    <w:rsid w:val="000A4B65"/>
    <w:rsid w:val="000A5A2A"/>
    <w:rsid w:val="000A77A9"/>
    <w:rsid w:val="000B08DB"/>
    <w:rsid w:val="000B1AB4"/>
    <w:rsid w:val="000B1FEB"/>
    <w:rsid w:val="000B209F"/>
    <w:rsid w:val="000B2272"/>
    <w:rsid w:val="000B229F"/>
    <w:rsid w:val="000B3044"/>
    <w:rsid w:val="000B3446"/>
    <w:rsid w:val="000B4B5E"/>
    <w:rsid w:val="000B4D4B"/>
    <w:rsid w:val="000B503F"/>
    <w:rsid w:val="000B5083"/>
    <w:rsid w:val="000B6610"/>
    <w:rsid w:val="000B7C81"/>
    <w:rsid w:val="000C0A46"/>
    <w:rsid w:val="000C1B5E"/>
    <w:rsid w:val="000C2E5A"/>
    <w:rsid w:val="000C4A58"/>
    <w:rsid w:val="000C4E81"/>
    <w:rsid w:val="000C6196"/>
    <w:rsid w:val="000D1F2E"/>
    <w:rsid w:val="000D20B0"/>
    <w:rsid w:val="000D2137"/>
    <w:rsid w:val="000D24DB"/>
    <w:rsid w:val="000D26FD"/>
    <w:rsid w:val="000D3891"/>
    <w:rsid w:val="000D59BC"/>
    <w:rsid w:val="000D73FE"/>
    <w:rsid w:val="000D7590"/>
    <w:rsid w:val="000E1155"/>
    <w:rsid w:val="000E14DB"/>
    <w:rsid w:val="000E1FD7"/>
    <w:rsid w:val="000E21B5"/>
    <w:rsid w:val="000E25AF"/>
    <w:rsid w:val="000E3717"/>
    <w:rsid w:val="000E3858"/>
    <w:rsid w:val="000E394C"/>
    <w:rsid w:val="000E4AFB"/>
    <w:rsid w:val="000E4C52"/>
    <w:rsid w:val="000E676A"/>
    <w:rsid w:val="000E6934"/>
    <w:rsid w:val="000E7827"/>
    <w:rsid w:val="000F2596"/>
    <w:rsid w:val="000F2F88"/>
    <w:rsid w:val="000F326C"/>
    <w:rsid w:val="000F33FD"/>
    <w:rsid w:val="000F380C"/>
    <w:rsid w:val="000F4B69"/>
    <w:rsid w:val="000F4D08"/>
    <w:rsid w:val="000F4E03"/>
    <w:rsid w:val="000F5D18"/>
    <w:rsid w:val="000F67FA"/>
    <w:rsid w:val="000F6E79"/>
    <w:rsid w:val="000F7448"/>
    <w:rsid w:val="00100569"/>
    <w:rsid w:val="00101FD4"/>
    <w:rsid w:val="00103831"/>
    <w:rsid w:val="00103BB0"/>
    <w:rsid w:val="0010444D"/>
    <w:rsid w:val="0010479D"/>
    <w:rsid w:val="0010480D"/>
    <w:rsid w:val="00105E8A"/>
    <w:rsid w:val="00106B50"/>
    <w:rsid w:val="0010712C"/>
    <w:rsid w:val="00107192"/>
    <w:rsid w:val="00107558"/>
    <w:rsid w:val="00110513"/>
    <w:rsid w:val="00110576"/>
    <w:rsid w:val="00110A64"/>
    <w:rsid w:val="00110C67"/>
    <w:rsid w:val="00111226"/>
    <w:rsid w:val="0011188A"/>
    <w:rsid w:val="001121DE"/>
    <w:rsid w:val="00112786"/>
    <w:rsid w:val="00112D7A"/>
    <w:rsid w:val="0011356D"/>
    <w:rsid w:val="001141A6"/>
    <w:rsid w:val="00114490"/>
    <w:rsid w:val="00116312"/>
    <w:rsid w:val="00116D19"/>
    <w:rsid w:val="00117145"/>
    <w:rsid w:val="001178D5"/>
    <w:rsid w:val="001205D6"/>
    <w:rsid w:val="0012061E"/>
    <w:rsid w:val="00120627"/>
    <w:rsid w:val="00120860"/>
    <w:rsid w:val="00120CF9"/>
    <w:rsid w:val="0012101A"/>
    <w:rsid w:val="00121735"/>
    <w:rsid w:val="00121B7A"/>
    <w:rsid w:val="001226AF"/>
    <w:rsid w:val="00122808"/>
    <w:rsid w:val="00124406"/>
    <w:rsid w:val="00124499"/>
    <w:rsid w:val="001257F9"/>
    <w:rsid w:val="0012765C"/>
    <w:rsid w:val="001276C4"/>
    <w:rsid w:val="001276C6"/>
    <w:rsid w:val="00130128"/>
    <w:rsid w:val="00130285"/>
    <w:rsid w:val="001303B3"/>
    <w:rsid w:val="00130450"/>
    <w:rsid w:val="00130940"/>
    <w:rsid w:val="0013097E"/>
    <w:rsid w:val="00130C3B"/>
    <w:rsid w:val="00131618"/>
    <w:rsid w:val="001316A8"/>
    <w:rsid w:val="001317C6"/>
    <w:rsid w:val="001323CC"/>
    <w:rsid w:val="001326D9"/>
    <w:rsid w:val="00132E8F"/>
    <w:rsid w:val="00132FE8"/>
    <w:rsid w:val="00134E30"/>
    <w:rsid w:val="001351A1"/>
    <w:rsid w:val="00135C66"/>
    <w:rsid w:val="00137AE8"/>
    <w:rsid w:val="00140484"/>
    <w:rsid w:val="00140E63"/>
    <w:rsid w:val="001410A4"/>
    <w:rsid w:val="0014328C"/>
    <w:rsid w:val="001433CF"/>
    <w:rsid w:val="00143CFF"/>
    <w:rsid w:val="001445F1"/>
    <w:rsid w:val="001453E8"/>
    <w:rsid w:val="0014599C"/>
    <w:rsid w:val="00146BE8"/>
    <w:rsid w:val="001506BB"/>
    <w:rsid w:val="00153B91"/>
    <w:rsid w:val="00153F3D"/>
    <w:rsid w:val="00154752"/>
    <w:rsid w:val="001566CD"/>
    <w:rsid w:val="00156715"/>
    <w:rsid w:val="00157790"/>
    <w:rsid w:val="001614DB"/>
    <w:rsid w:val="00162016"/>
    <w:rsid w:val="00163824"/>
    <w:rsid w:val="00163CB7"/>
    <w:rsid w:val="00163F33"/>
    <w:rsid w:val="0016429E"/>
    <w:rsid w:val="00165373"/>
    <w:rsid w:val="0016564D"/>
    <w:rsid w:val="001658AE"/>
    <w:rsid w:val="001661B5"/>
    <w:rsid w:val="001679FE"/>
    <w:rsid w:val="00170983"/>
    <w:rsid w:val="001715F4"/>
    <w:rsid w:val="00171F7C"/>
    <w:rsid w:val="00172659"/>
    <w:rsid w:val="00173E8F"/>
    <w:rsid w:val="001740D4"/>
    <w:rsid w:val="0017432A"/>
    <w:rsid w:val="001757DA"/>
    <w:rsid w:val="00175A16"/>
    <w:rsid w:val="00175B9B"/>
    <w:rsid w:val="00176025"/>
    <w:rsid w:val="00180967"/>
    <w:rsid w:val="00181096"/>
    <w:rsid w:val="00181C13"/>
    <w:rsid w:val="0018369D"/>
    <w:rsid w:val="001839A6"/>
    <w:rsid w:val="00183DFA"/>
    <w:rsid w:val="00184F58"/>
    <w:rsid w:val="00185228"/>
    <w:rsid w:val="001861C7"/>
    <w:rsid w:val="00187548"/>
    <w:rsid w:val="00187880"/>
    <w:rsid w:val="00187BC3"/>
    <w:rsid w:val="0019055B"/>
    <w:rsid w:val="00190774"/>
    <w:rsid w:val="00191321"/>
    <w:rsid w:val="00191AE0"/>
    <w:rsid w:val="00192782"/>
    <w:rsid w:val="00192CBC"/>
    <w:rsid w:val="00192F66"/>
    <w:rsid w:val="001953F8"/>
    <w:rsid w:val="001958A8"/>
    <w:rsid w:val="00195A82"/>
    <w:rsid w:val="00195FD0"/>
    <w:rsid w:val="00196526"/>
    <w:rsid w:val="001970AE"/>
    <w:rsid w:val="00197626"/>
    <w:rsid w:val="001979B1"/>
    <w:rsid w:val="001A09EE"/>
    <w:rsid w:val="001A0C73"/>
    <w:rsid w:val="001A1BAA"/>
    <w:rsid w:val="001A2433"/>
    <w:rsid w:val="001A3C4A"/>
    <w:rsid w:val="001A4F55"/>
    <w:rsid w:val="001A528B"/>
    <w:rsid w:val="001A53E8"/>
    <w:rsid w:val="001A56D8"/>
    <w:rsid w:val="001A5789"/>
    <w:rsid w:val="001A5AA6"/>
    <w:rsid w:val="001A5ADA"/>
    <w:rsid w:val="001A5CD2"/>
    <w:rsid w:val="001A787F"/>
    <w:rsid w:val="001B00EE"/>
    <w:rsid w:val="001B05F3"/>
    <w:rsid w:val="001B096E"/>
    <w:rsid w:val="001B09B3"/>
    <w:rsid w:val="001B1356"/>
    <w:rsid w:val="001B144E"/>
    <w:rsid w:val="001B1FB7"/>
    <w:rsid w:val="001B23BF"/>
    <w:rsid w:val="001B308E"/>
    <w:rsid w:val="001B3998"/>
    <w:rsid w:val="001B3FF9"/>
    <w:rsid w:val="001B4EA2"/>
    <w:rsid w:val="001B56C4"/>
    <w:rsid w:val="001B6411"/>
    <w:rsid w:val="001B654F"/>
    <w:rsid w:val="001B6F8C"/>
    <w:rsid w:val="001B760A"/>
    <w:rsid w:val="001B79E2"/>
    <w:rsid w:val="001B7D7C"/>
    <w:rsid w:val="001C1740"/>
    <w:rsid w:val="001C2943"/>
    <w:rsid w:val="001C2ADC"/>
    <w:rsid w:val="001C3EEE"/>
    <w:rsid w:val="001C4B98"/>
    <w:rsid w:val="001C5E5A"/>
    <w:rsid w:val="001C607E"/>
    <w:rsid w:val="001C60C0"/>
    <w:rsid w:val="001C6231"/>
    <w:rsid w:val="001C6582"/>
    <w:rsid w:val="001C6A18"/>
    <w:rsid w:val="001C6F6D"/>
    <w:rsid w:val="001C7279"/>
    <w:rsid w:val="001D04BC"/>
    <w:rsid w:val="001D1ED0"/>
    <w:rsid w:val="001D29AA"/>
    <w:rsid w:val="001D35AB"/>
    <w:rsid w:val="001D3BB9"/>
    <w:rsid w:val="001D3FB3"/>
    <w:rsid w:val="001D509E"/>
    <w:rsid w:val="001D5270"/>
    <w:rsid w:val="001D59CE"/>
    <w:rsid w:val="001D5ABE"/>
    <w:rsid w:val="001D6E94"/>
    <w:rsid w:val="001D75EB"/>
    <w:rsid w:val="001D7C91"/>
    <w:rsid w:val="001E02DB"/>
    <w:rsid w:val="001E0A61"/>
    <w:rsid w:val="001E1124"/>
    <w:rsid w:val="001E1342"/>
    <w:rsid w:val="001E2DE4"/>
    <w:rsid w:val="001E3ACE"/>
    <w:rsid w:val="001E52E9"/>
    <w:rsid w:val="001F0ADF"/>
    <w:rsid w:val="001F0DD6"/>
    <w:rsid w:val="001F0EDB"/>
    <w:rsid w:val="001F0FE8"/>
    <w:rsid w:val="001F1B4D"/>
    <w:rsid w:val="001F1C1A"/>
    <w:rsid w:val="001F1EB3"/>
    <w:rsid w:val="001F2C60"/>
    <w:rsid w:val="001F2D0C"/>
    <w:rsid w:val="001F2EEF"/>
    <w:rsid w:val="001F369C"/>
    <w:rsid w:val="001F3EC0"/>
    <w:rsid w:val="001F40CD"/>
    <w:rsid w:val="001F4A66"/>
    <w:rsid w:val="001F58E8"/>
    <w:rsid w:val="001F5D32"/>
    <w:rsid w:val="001F65DB"/>
    <w:rsid w:val="001F67D6"/>
    <w:rsid w:val="001F7AEA"/>
    <w:rsid w:val="002004C6"/>
    <w:rsid w:val="00200BFD"/>
    <w:rsid w:val="0020249C"/>
    <w:rsid w:val="00202DBE"/>
    <w:rsid w:val="00204407"/>
    <w:rsid w:val="00205AFE"/>
    <w:rsid w:val="00205ECA"/>
    <w:rsid w:val="00206350"/>
    <w:rsid w:val="00206889"/>
    <w:rsid w:val="00206AE6"/>
    <w:rsid w:val="002101F0"/>
    <w:rsid w:val="0021023C"/>
    <w:rsid w:val="00212835"/>
    <w:rsid w:val="002135A3"/>
    <w:rsid w:val="00214F99"/>
    <w:rsid w:val="002151ED"/>
    <w:rsid w:val="0021530A"/>
    <w:rsid w:val="00215AE1"/>
    <w:rsid w:val="002170FD"/>
    <w:rsid w:val="002219AE"/>
    <w:rsid w:val="00221A30"/>
    <w:rsid w:val="00221D02"/>
    <w:rsid w:val="00223FD4"/>
    <w:rsid w:val="00224CAC"/>
    <w:rsid w:val="00225151"/>
    <w:rsid w:val="0022552E"/>
    <w:rsid w:val="0022648C"/>
    <w:rsid w:val="00227307"/>
    <w:rsid w:val="002306DF"/>
    <w:rsid w:val="002313C7"/>
    <w:rsid w:val="00231914"/>
    <w:rsid w:val="00231CF9"/>
    <w:rsid w:val="00232DD2"/>
    <w:rsid w:val="00232EC3"/>
    <w:rsid w:val="00233289"/>
    <w:rsid w:val="0023328E"/>
    <w:rsid w:val="002349CC"/>
    <w:rsid w:val="00234B88"/>
    <w:rsid w:val="00234BBC"/>
    <w:rsid w:val="0023526D"/>
    <w:rsid w:val="00235D8D"/>
    <w:rsid w:val="0023640B"/>
    <w:rsid w:val="00236AFF"/>
    <w:rsid w:val="00237843"/>
    <w:rsid w:val="00237BB9"/>
    <w:rsid w:val="00241490"/>
    <w:rsid w:val="00242C03"/>
    <w:rsid w:val="00243113"/>
    <w:rsid w:val="00243AA2"/>
    <w:rsid w:val="0024401D"/>
    <w:rsid w:val="002443EE"/>
    <w:rsid w:val="00244C73"/>
    <w:rsid w:val="002454E6"/>
    <w:rsid w:val="002504D7"/>
    <w:rsid w:val="00250BB7"/>
    <w:rsid w:val="0025190C"/>
    <w:rsid w:val="00251FC9"/>
    <w:rsid w:val="00255493"/>
    <w:rsid w:val="00255788"/>
    <w:rsid w:val="00255F0F"/>
    <w:rsid w:val="002565A7"/>
    <w:rsid w:val="002609F2"/>
    <w:rsid w:val="00260DDF"/>
    <w:rsid w:val="00261C21"/>
    <w:rsid w:val="00261C4D"/>
    <w:rsid w:val="002624C9"/>
    <w:rsid w:val="00263AFE"/>
    <w:rsid w:val="0026412D"/>
    <w:rsid w:val="00264397"/>
    <w:rsid w:val="002643D5"/>
    <w:rsid w:val="00264657"/>
    <w:rsid w:val="00264E89"/>
    <w:rsid w:val="002659C1"/>
    <w:rsid w:val="00265B9F"/>
    <w:rsid w:val="00265E5D"/>
    <w:rsid w:val="0026609F"/>
    <w:rsid w:val="0026616A"/>
    <w:rsid w:val="00266B7A"/>
    <w:rsid w:val="00266DD8"/>
    <w:rsid w:val="002711B1"/>
    <w:rsid w:val="002711DB"/>
    <w:rsid w:val="002727D6"/>
    <w:rsid w:val="002730FA"/>
    <w:rsid w:val="00273B49"/>
    <w:rsid w:val="002749BC"/>
    <w:rsid w:val="00275F75"/>
    <w:rsid w:val="00280309"/>
    <w:rsid w:val="002809BB"/>
    <w:rsid w:val="0028159B"/>
    <w:rsid w:val="00283C80"/>
    <w:rsid w:val="00283EC2"/>
    <w:rsid w:val="00284156"/>
    <w:rsid w:val="00284236"/>
    <w:rsid w:val="002859B4"/>
    <w:rsid w:val="0028605A"/>
    <w:rsid w:val="00286C7D"/>
    <w:rsid w:val="00286F9F"/>
    <w:rsid w:val="0028704E"/>
    <w:rsid w:val="00287A15"/>
    <w:rsid w:val="00287F24"/>
    <w:rsid w:val="00291946"/>
    <w:rsid w:val="00292001"/>
    <w:rsid w:val="00292592"/>
    <w:rsid w:val="00292D05"/>
    <w:rsid w:val="002930D5"/>
    <w:rsid w:val="0029398F"/>
    <w:rsid w:val="0029414F"/>
    <w:rsid w:val="002949C0"/>
    <w:rsid w:val="00295242"/>
    <w:rsid w:val="002967E7"/>
    <w:rsid w:val="002A057C"/>
    <w:rsid w:val="002A0633"/>
    <w:rsid w:val="002A06E0"/>
    <w:rsid w:val="002A1D87"/>
    <w:rsid w:val="002A1DBF"/>
    <w:rsid w:val="002A20B0"/>
    <w:rsid w:val="002A27DB"/>
    <w:rsid w:val="002A3536"/>
    <w:rsid w:val="002A37C0"/>
    <w:rsid w:val="002A5F56"/>
    <w:rsid w:val="002A601B"/>
    <w:rsid w:val="002A681E"/>
    <w:rsid w:val="002A72AB"/>
    <w:rsid w:val="002A7639"/>
    <w:rsid w:val="002B14D1"/>
    <w:rsid w:val="002B17FD"/>
    <w:rsid w:val="002B1B6E"/>
    <w:rsid w:val="002B251C"/>
    <w:rsid w:val="002B2A45"/>
    <w:rsid w:val="002B30C3"/>
    <w:rsid w:val="002B3346"/>
    <w:rsid w:val="002B3DB3"/>
    <w:rsid w:val="002B4547"/>
    <w:rsid w:val="002B4AC4"/>
    <w:rsid w:val="002B57FF"/>
    <w:rsid w:val="002B5D2F"/>
    <w:rsid w:val="002B5F79"/>
    <w:rsid w:val="002B5FE4"/>
    <w:rsid w:val="002B7A78"/>
    <w:rsid w:val="002B7E43"/>
    <w:rsid w:val="002B7F69"/>
    <w:rsid w:val="002C29E1"/>
    <w:rsid w:val="002C2B55"/>
    <w:rsid w:val="002C37BB"/>
    <w:rsid w:val="002C45FC"/>
    <w:rsid w:val="002C4A7C"/>
    <w:rsid w:val="002C5EDE"/>
    <w:rsid w:val="002C621E"/>
    <w:rsid w:val="002C76D8"/>
    <w:rsid w:val="002D0DB1"/>
    <w:rsid w:val="002D1143"/>
    <w:rsid w:val="002D3903"/>
    <w:rsid w:val="002D3D50"/>
    <w:rsid w:val="002D40DE"/>
    <w:rsid w:val="002D4705"/>
    <w:rsid w:val="002D5303"/>
    <w:rsid w:val="002D5EE0"/>
    <w:rsid w:val="002D6EF1"/>
    <w:rsid w:val="002D786B"/>
    <w:rsid w:val="002D7E7B"/>
    <w:rsid w:val="002E1BFB"/>
    <w:rsid w:val="002E22DA"/>
    <w:rsid w:val="002E24A0"/>
    <w:rsid w:val="002E4CE1"/>
    <w:rsid w:val="002E4E09"/>
    <w:rsid w:val="002E5EA2"/>
    <w:rsid w:val="002E63E1"/>
    <w:rsid w:val="002E6635"/>
    <w:rsid w:val="002E6F2D"/>
    <w:rsid w:val="002F0042"/>
    <w:rsid w:val="002F00E6"/>
    <w:rsid w:val="002F1509"/>
    <w:rsid w:val="002F1840"/>
    <w:rsid w:val="002F26F6"/>
    <w:rsid w:val="002F2DB4"/>
    <w:rsid w:val="002F333A"/>
    <w:rsid w:val="002F4AEA"/>
    <w:rsid w:val="002F4B70"/>
    <w:rsid w:val="002F51FE"/>
    <w:rsid w:val="002F6CD9"/>
    <w:rsid w:val="002F726F"/>
    <w:rsid w:val="00300F38"/>
    <w:rsid w:val="0030158C"/>
    <w:rsid w:val="00302769"/>
    <w:rsid w:val="00303419"/>
    <w:rsid w:val="00304465"/>
    <w:rsid w:val="00304EB8"/>
    <w:rsid w:val="00306559"/>
    <w:rsid w:val="003069B8"/>
    <w:rsid w:val="00307361"/>
    <w:rsid w:val="003107C0"/>
    <w:rsid w:val="003109D6"/>
    <w:rsid w:val="00311232"/>
    <w:rsid w:val="0031163C"/>
    <w:rsid w:val="003127E0"/>
    <w:rsid w:val="003128F7"/>
    <w:rsid w:val="00313719"/>
    <w:rsid w:val="0031392E"/>
    <w:rsid w:val="00313C1C"/>
    <w:rsid w:val="003146A9"/>
    <w:rsid w:val="00315002"/>
    <w:rsid w:val="003150D6"/>
    <w:rsid w:val="003168F5"/>
    <w:rsid w:val="0031764D"/>
    <w:rsid w:val="003218C0"/>
    <w:rsid w:val="00322930"/>
    <w:rsid w:val="00322E1F"/>
    <w:rsid w:val="003234B5"/>
    <w:rsid w:val="00323924"/>
    <w:rsid w:val="0032438E"/>
    <w:rsid w:val="00325C3B"/>
    <w:rsid w:val="00326FE8"/>
    <w:rsid w:val="003271E8"/>
    <w:rsid w:val="00330B15"/>
    <w:rsid w:val="00330E6C"/>
    <w:rsid w:val="00332B1F"/>
    <w:rsid w:val="00332F01"/>
    <w:rsid w:val="0033311E"/>
    <w:rsid w:val="00333229"/>
    <w:rsid w:val="00334240"/>
    <w:rsid w:val="00334316"/>
    <w:rsid w:val="00335482"/>
    <w:rsid w:val="00336045"/>
    <w:rsid w:val="00336360"/>
    <w:rsid w:val="00340632"/>
    <w:rsid w:val="0034255A"/>
    <w:rsid w:val="00342B64"/>
    <w:rsid w:val="00343B5A"/>
    <w:rsid w:val="00343D90"/>
    <w:rsid w:val="00344569"/>
    <w:rsid w:val="00344D10"/>
    <w:rsid w:val="0034531F"/>
    <w:rsid w:val="00345B46"/>
    <w:rsid w:val="00346A73"/>
    <w:rsid w:val="003478B4"/>
    <w:rsid w:val="00347E3C"/>
    <w:rsid w:val="00350221"/>
    <w:rsid w:val="00350ABC"/>
    <w:rsid w:val="00350B3C"/>
    <w:rsid w:val="00351FF7"/>
    <w:rsid w:val="00353E25"/>
    <w:rsid w:val="0035493F"/>
    <w:rsid w:val="003553D8"/>
    <w:rsid w:val="00355717"/>
    <w:rsid w:val="00355930"/>
    <w:rsid w:val="003568ED"/>
    <w:rsid w:val="00356B2C"/>
    <w:rsid w:val="00360075"/>
    <w:rsid w:val="00360AD8"/>
    <w:rsid w:val="00360B0D"/>
    <w:rsid w:val="00360BFC"/>
    <w:rsid w:val="00360E80"/>
    <w:rsid w:val="00360F18"/>
    <w:rsid w:val="00361740"/>
    <w:rsid w:val="0036191B"/>
    <w:rsid w:val="00361DF4"/>
    <w:rsid w:val="0036218D"/>
    <w:rsid w:val="0036255F"/>
    <w:rsid w:val="0036260C"/>
    <w:rsid w:val="00363A5C"/>
    <w:rsid w:val="00363BB6"/>
    <w:rsid w:val="00364276"/>
    <w:rsid w:val="00364E18"/>
    <w:rsid w:val="00365036"/>
    <w:rsid w:val="00365F83"/>
    <w:rsid w:val="0036612F"/>
    <w:rsid w:val="00366B67"/>
    <w:rsid w:val="00367001"/>
    <w:rsid w:val="003700AD"/>
    <w:rsid w:val="00371668"/>
    <w:rsid w:val="00371D2D"/>
    <w:rsid w:val="00371DE3"/>
    <w:rsid w:val="00372426"/>
    <w:rsid w:val="0037338D"/>
    <w:rsid w:val="003738F8"/>
    <w:rsid w:val="00376C3A"/>
    <w:rsid w:val="003770C6"/>
    <w:rsid w:val="00377681"/>
    <w:rsid w:val="00377AB5"/>
    <w:rsid w:val="00377AC4"/>
    <w:rsid w:val="0038229E"/>
    <w:rsid w:val="00382842"/>
    <w:rsid w:val="00383300"/>
    <w:rsid w:val="00384158"/>
    <w:rsid w:val="0038442A"/>
    <w:rsid w:val="00384475"/>
    <w:rsid w:val="00384A9D"/>
    <w:rsid w:val="00384BF6"/>
    <w:rsid w:val="00384C6C"/>
    <w:rsid w:val="00385168"/>
    <w:rsid w:val="00387020"/>
    <w:rsid w:val="0039020D"/>
    <w:rsid w:val="00390835"/>
    <w:rsid w:val="00390B49"/>
    <w:rsid w:val="00391475"/>
    <w:rsid w:val="003934AB"/>
    <w:rsid w:val="00393A1B"/>
    <w:rsid w:val="003944D2"/>
    <w:rsid w:val="00396C3F"/>
    <w:rsid w:val="003A05B3"/>
    <w:rsid w:val="003A131E"/>
    <w:rsid w:val="003A134D"/>
    <w:rsid w:val="003A16EE"/>
    <w:rsid w:val="003A289C"/>
    <w:rsid w:val="003A2C4B"/>
    <w:rsid w:val="003A4E96"/>
    <w:rsid w:val="003A7A23"/>
    <w:rsid w:val="003B051B"/>
    <w:rsid w:val="003B1548"/>
    <w:rsid w:val="003B1BF5"/>
    <w:rsid w:val="003B2124"/>
    <w:rsid w:val="003B26B5"/>
    <w:rsid w:val="003B354D"/>
    <w:rsid w:val="003B42C6"/>
    <w:rsid w:val="003B4CC1"/>
    <w:rsid w:val="003B774A"/>
    <w:rsid w:val="003C1050"/>
    <w:rsid w:val="003C1237"/>
    <w:rsid w:val="003C3B63"/>
    <w:rsid w:val="003C3D0C"/>
    <w:rsid w:val="003C44BB"/>
    <w:rsid w:val="003C500F"/>
    <w:rsid w:val="003C57E0"/>
    <w:rsid w:val="003C5E24"/>
    <w:rsid w:val="003C62E7"/>
    <w:rsid w:val="003C6485"/>
    <w:rsid w:val="003C6FB5"/>
    <w:rsid w:val="003C7D06"/>
    <w:rsid w:val="003D0762"/>
    <w:rsid w:val="003D0F60"/>
    <w:rsid w:val="003D1AD4"/>
    <w:rsid w:val="003D31A6"/>
    <w:rsid w:val="003D4B3D"/>
    <w:rsid w:val="003D52CE"/>
    <w:rsid w:val="003D617D"/>
    <w:rsid w:val="003D6334"/>
    <w:rsid w:val="003D6DB0"/>
    <w:rsid w:val="003D752F"/>
    <w:rsid w:val="003D7913"/>
    <w:rsid w:val="003D7F2F"/>
    <w:rsid w:val="003E062B"/>
    <w:rsid w:val="003E18D4"/>
    <w:rsid w:val="003E19FF"/>
    <w:rsid w:val="003E29F1"/>
    <w:rsid w:val="003E4193"/>
    <w:rsid w:val="003E43F3"/>
    <w:rsid w:val="003E4412"/>
    <w:rsid w:val="003E4488"/>
    <w:rsid w:val="003E4ACA"/>
    <w:rsid w:val="003E4D76"/>
    <w:rsid w:val="003E53CB"/>
    <w:rsid w:val="003E590B"/>
    <w:rsid w:val="003E5D1F"/>
    <w:rsid w:val="003E615F"/>
    <w:rsid w:val="003E652A"/>
    <w:rsid w:val="003E6B7F"/>
    <w:rsid w:val="003E6DD0"/>
    <w:rsid w:val="003E76CF"/>
    <w:rsid w:val="003F0101"/>
    <w:rsid w:val="003F0BB9"/>
    <w:rsid w:val="003F111A"/>
    <w:rsid w:val="003F1410"/>
    <w:rsid w:val="003F18CA"/>
    <w:rsid w:val="003F1F82"/>
    <w:rsid w:val="003F2337"/>
    <w:rsid w:val="003F2666"/>
    <w:rsid w:val="003F28C6"/>
    <w:rsid w:val="003F2E15"/>
    <w:rsid w:val="003F2F04"/>
    <w:rsid w:val="003F35AD"/>
    <w:rsid w:val="003F3AD7"/>
    <w:rsid w:val="003F40B4"/>
    <w:rsid w:val="003F40D9"/>
    <w:rsid w:val="003F44FD"/>
    <w:rsid w:val="003F47C0"/>
    <w:rsid w:val="003F5CC8"/>
    <w:rsid w:val="003F6786"/>
    <w:rsid w:val="003F7AE0"/>
    <w:rsid w:val="003F7F68"/>
    <w:rsid w:val="00400921"/>
    <w:rsid w:val="00400A55"/>
    <w:rsid w:val="00401BB1"/>
    <w:rsid w:val="0040265D"/>
    <w:rsid w:val="00402985"/>
    <w:rsid w:val="0040302F"/>
    <w:rsid w:val="00403AC9"/>
    <w:rsid w:val="00403E6A"/>
    <w:rsid w:val="00404A89"/>
    <w:rsid w:val="00404C4B"/>
    <w:rsid w:val="00404E18"/>
    <w:rsid w:val="00405B34"/>
    <w:rsid w:val="00405E21"/>
    <w:rsid w:val="004076BF"/>
    <w:rsid w:val="00407D2F"/>
    <w:rsid w:val="00410D7E"/>
    <w:rsid w:val="00412F99"/>
    <w:rsid w:val="004134DD"/>
    <w:rsid w:val="00413C87"/>
    <w:rsid w:val="00414E17"/>
    <w:rsid w:val="0041543F"/>
    <w:rsid w:val="00415572"/>
    <w:rsid w:val="00415A02"/>
    <w:rsid w:val="00415C31"/>
    <w:rsid w:val="00416222"/>
    <w:rsid w:val="004164DA"/>
    <w:rsid w:val="004168F7"/>
    <w:rsid w:val="00417418"/>
    <w:rsid w:val="00421530"/>
    <w:rsid w:val="0042266F"/>
    <w:rsid w:val="004228EF"/>
    <w:rsid w:val="00422EE3"/>
    <w:rsid w:val="00423203"/>
    <w:rsid w:val="004241B3"/>
    <w:rsid w:val="004268D7"/>
    <w:rsid w:val="00426BCA"/>
    <w:rsid w:val="00426C94"/>
    <w:rsid w:val="0042717C"/>
    <w:rsid w:val="004272B0"/>
    <w:rsid w:val="00430710"/>
    <w:rsid w:val="00430858"/>
    <w:rsid w:val="00430928"/>
    <w:rsid w:val="00431F05"/>
    <w:rsid w:val="0043202C"/>
    <w:rsid w:val="00432771"/>
    <w:rsid w:val="0043372A"/>
    <w:rsid w:val="004339CE"/>
    <w:rsid w:val="004342FB"/>
    <w:rsid w:val="004349DC"/>
    <w:rsid w:val="00435743"/>
    <w:rsid w:val="004400D9"/>
    <w:rsid w:val="004409A5"/>
    <w:rsid w:val="00442441"/>
    <w:rsid w:val="0044327C"/>
    <w:rsid w:val="00443D99"/>
    <w:rsid w:val="004445FC"/>
    <w:rsid w:val="0044463F"/>
    <w:rsid w:val="00445306"/>
    <w:rsid w:val="00446CA7"/>
    <w:rsid w:val="0044738C"/>
    <w:rsid w:val="00447424"/>
    <w:rsid w:val="00447552"/>
    <w:rsid w:val="00451467"/>
    <w:rsid w:val="00451D13"/>
    <w:rsid w:val="00451DD9"/>
    <w:rsid w:val="00453125"/>
    <w:rsid w:val="0045502B"/>
    <w:rsid w:val="00455A34"/>
    <w:rsid w:val="00455F07"/>
    <w:rsid w:val="00456D90"/>
    <w:rsid w:val="0046103E"/>
    <w:rsid w:val="00461965"/>
    <w:rsid w:val="0046236F"/>
    <w:rsid w:val="004625CA"/>
    <w:rsid w:val="00463E62"/>
    <w:rsid w:val="00463FEA"/>
    <w:rsid w:val="0046440A"/>
    <w:rsid w:val="0046511F"/>
    <w:rsid w:val="00465135"/>
    <w:rsid w:val="00466DD2"/>
    <w:rsid w:val="0046717E"/>
    <w:rsid w:val="004702CD"/>
    <w:rsid w:val="00470D11"/>
    <w:rsid w:val="004710DB"/>
    <w:rsid w:val="00471440"/>
    <w:rsid w:val="00471F0E"/>
    <w:rsid w:val="00472198"/>
    <w:rsid w:val="00472A23"/>
    <w:rsid w:val="00473451"/>
    <w:rsid w:val="0047359B"/>
    <w:rsid w:val="004746B9"/>
    <w:rsid w:val="004753C0"/>
    <w:rsid w:val="00475B09"/>
    <w:rsid w:val="00476203"/>
    <w:rsid w:val="00477392"/>
    <w:rsid w:val="00477B98"/>
    <w:rsid w:val="00480941"/>
    <w:rsid w:val="00480FE3"/>
    <w:rsid w:val="00481714"/>
    <w:rsid w:val="00483D98"/>
    <w:rsid w:val="0048481A"/>
    <w:rsid w:val="00484E5E"/>
    <w:rsid w:val="00486C33"/>
    <w:rsid w:val="0048751B"/>
    <w:rsid w:val="004900E3"/>
    <w:rsid w:val="004902CA"/>
    <w:rsid w:val="0049094C"/>
    <w:rsid w:val="004918AF"/>
    <w:rsid w:val="004923C1"/>
    <w:rsid w:val="00492512"/>
    <w:rsid w:val="00492664"/>
    <w:rsid w:val="00492A4E"/>
    <w:rsid w:val="0049419D"/>
    <w:rsid w:val="00494F53"/>
    <w:rsid w:val="00496C9E"/>
    <w:rsid w:val="004A0360"/>
    <w:rsid w:val="004A0FA3"/>
    <w:rsid w:val="004A1107"/>
    <w:rsid w:val="004A1F2A"/>
    <w:rsid w:val="004A2443"/>
    <w:rsid w:val="004A3184"/>
    <w:rsid w:val="004A3437"/>
    <w:rsid w:val="004A4619"/>
    <w:rsid w:val="004A47BF"/>
    <w:rsid w:val="004A49E7"/>
    <w:rsid w:val="004A4B0B"/>
    <w:rsid w:val="004A6805"/>
    <w:rsid w:val="004A6A1F"/>
    <w:rsid w:val="004A75AE"/>
    <w:rsid w:val="004A7915"/>
    <w:rsid w:val="004B1106"/>
    <w:rsid w:val="004B1394"/>
    <w:rsid w:val="004B1EA3"/>
    <w:rsid w:val="004B1FE7"/>
    <w:rsid w:val="004B47FF"/>
    <w:rsid w:val="004B5672"/>
    <w:rsid w:val="004B57FF"/>
    <w:rsid w:val="004B643D"/>
    <w:rsid w:val="004B6F4C"/>
    <w:rsid w:val="004B79C7"/>
    <w:rsid w:val="004C1538"/>
    <w:rsid w:val="004C18CA"/>
    <w:rsid w:val="004C1F2D"/>
    <w:rsid w:val="004C30E5"/>
    <w:rsid w:val="004C3C82"/>
    <w:rsid w:val="004C3EBC"/>
    <w:rsid w:val="004C4C42"/>
    <w:rsid w:val="004C4D2A"/>
    <w:rsid w:val="004C56CF"/>
    <w:rsid w:val="004C5974"/>
    <w:rsid w:val="004C5FC8"/>
    <w:rsid w:val="004C6268"/>
    <w:rsid w:val="004C6773"/>
    <w:rsid w:val="004C7030"/>
    <w:rsid w:val="004C768F"/>
    <w:rsid w:val="004C7AC6"/>
    <w:rsid w:val="004D055D"/>
    <w:rsid w:val="004D19C9"/>
    <w:rsid w:val="004D1C45"/>
    <w:rsid w:val="004D1F63"/>
    <w:rsid w:val="004D2237"/>
    <w:rsid w:val="004D3205"/>
    <w:rsid w:val="004D5E5F"/>
    <w:rsid w:val="004D61B2"/>
    <w:rsid w:val="004D6CDD"/>
    <w:rsid w:val="004D6D3A"/>
    <w:rsid w:val="004D6EF9"/>
    <w:rsid w:val="004D71F0"/>
    <w:rsid w:val="004E0318"/>
    <w:rsid w:val="004E18E1"/>
    <w:rsid w:val="004E305B"/>
    <w:rsid w:val="004E3508"/>
    <w:rsid w:val="004E3854"/>
    <w:rsid w:val="004E3CAA"/>
    <w:rsid w:val="004E3E58"/>
    <w:rsid w:val="004E4909"/>
    <w:rsid w:val="004E5A8C"/>
    <w:rsid w:val="004E690D"/>
    <w:rsid w:val="004E6DCF"/>
    <w:rsid w:val="004E6E4B"/>
    <w:rsid w:val="004E7B59"/>
    <w:rsid w:val="004E7BB9"/>
    <w:rsid w:val="004F255E"/>
    <w:rsid w:val="004F28D0"/>
    <w:rsid w:val="004F311B"/>
    <w:rsid w:val="004F340C"/>
    <w:rsid w:val="004F3434"/>
    <w:rsid w:val="004F3594"/>
    <w:rsid w:val="004F362A"/>
    <w:rsid w:val="004F373F"/>
    <w:rsid w:val="004F459A"/>
    <w:rsid w:val="004F46E7"/>
    <w:rsid w:val="004F4895"/>
    <w:rsid w:val="004F4AD8"/>
    <w:rsid w:val="004F611A"/>
    <w:rsid w:val="004F75D4"/>
    <w:rsid w:val="005005B7"/>
    <w:rsid w:val="005008EC"/>
    <w:rsid w:val="0050186C"/>
    <w:rsid w:val="00502F64"/>
    <w:rsid w:val="00503CB2"/>
    <w:rsid w:val="00504559"/>
    <w:rsid w:val="00504FD2"/>
    <w:rsid w:val="00505C68"/>
    <w:rsid w:val="00506C2D"/>
    <w:rsid w:val="0051032A"/>
    <w:rsid w:val="00510EC5"/>
    <w:rsid w:val="005111F6"/>
    <w:rsid w:val="0051175B"/>
    <w:rsid w:val="0051274B"/>
    <w:rsid w:val="00512E9B"/>
    <w:rsid w:val="005137D4"/>
    <w:rsid w:val="00513F82"/>
    <w:rsid w:val="00514389"/>
    <w:rsid w:val="00515841"/>
    <w:rsid w:val="00516FF0"/>
    <w:rsid w:val="005170A2"/>
    <w:rsid w:val="005171B6"/>
    <w:rsid w:val="00517F1F"/>
    <w:rsid w:val="005215AB"/>
    <w:rsid w:val="00522500"/>
    <w:rsid w:val="0052446A"/>
    <w:rsid w:val="005246A0"/>
    <w:rsid w:val="00524FCF"/>
    <w:rsid w:val="00526CA5"/>
    <w:rsid w:val="00527024"/>
    <w:rsid w:val="00527668"/>
    <w:rsid w:val="00530557"/>
    <w:rsid w:val="00530896"/>
    <w:rsid w:val="00530B79"/>
    <w:rsid w:val="00530BAF"/>
    <w:rsid w:val="00530C71"/>
    <w:rsid w:val="00530F93"/>
    <w:rsid w:val="005315BF"/>
    <w:rsid w:val="0053208B"/>
    <w:rsid w:val="00532AC2"/>
    <w:rsid w:val="0053337C"/>
    <w:rsid w:val="00534464"/>
    <w:rsid w:val="005344AF"/>
    <w:rsid w:val="005351B1"/>
    <w:rsid w:val="00535491"/>
    <w:rsid w:val="00535C17"/>
    <w:rsid w:val="00536DB6"/>
    <w:rsid w:val="00540BE5"/>
    <w:rsid w:val="00540F24"/>
    <w:rsid w:val="005414B5"/>
    <w:rsid w:val="00541673"/>
    <w:rsid w:val="00541B28"/>
    <w:rsid w:val="00541CA5"/>
    <w:rsid w:val="00542A0A"/>
    <w:rsid w:val="00543A87"/>
    <w:rsid w:val="00544EF6"/>
    <w:rsid w:val="0054669F"/>
    <w:rsid w:val="005478FB"/>
    <w:rsid w:val="00547BF1"/>
    <w:rsid w:val="00547F15"/>
    <w:rsid w:val="00551260"/>
    <w:rsid w:val="00551A47"/>
    <w:rsid w:val="00551F9C"/>
    <w:rsid w:val="005521C7"/>
    <w:rsid w:val="005527CA"/>
    <w:rsid w:val="0055387A"/>
    <w:rsid w:val="00553AAB"/>
    <w:rsid w:val="00554038"/>
    <w:rsid w:val="005544F0"/>
    <w:rsid w:val="0055485E"/>
    <w:rsid w:val="00556236"/>
    <w:rsid w:val="00556418"/>
    <w:rsid w:val="0055696D"/>
    <w:rsid w:val="00556CDE"/>
    <w:rsid w:val="00557099"/>
    <w:rsid w:val="00557EDA"/>
    <w:rsid w:val="00561879"/>
    <w:rsid w:val="00561C81"/>
    <w:rsid w:val="00562847"/>
    <w:rsid w:val="005629EB"/>
    <w:rsid w:val="00563FE0"/>
    <w:rsid w:val="00564160"/>
    <w:rsid w:val="0056517A"/>
    <w:rsid w:val="005656A6"/>
    <w:rsid w:val="00566B4F"/>
    <w:rsid w:val="00566FF8"/>
    <w:rsid w:val="005675BD"/>
    <w:rsid w:val="00567C28"/>
    <w:rsid w:val="00567ED2"/>
    <w:rsid w:val="00570977"/>
    <w:rsid w:val="00570AD0"/>
    <w:rsid w:val="00570C64"/>
    <w:rsid w:val="00570D06"/>
    <w:rsid w:val="00571E24"/>
    <w:rsid w:val="00572557"/>
    <w:rsid w:val="00572660"/>
    <w:rsid w:val="00572A04"/>
    <w:rsid w:val="00572FE5"/>
    <w:rsid w:val="00574F92"/>
    <w:rsid w:val="00575719"/>
    <w:rsid w:val="0057586E"/>
    <w:rsid w:val="00575FBB"/>
    <w:rsid w:val="00577032"/>
    <w:rsid w:val="00577C54"/>
    <w:rsid w:val="00581F09"/>
    <w:rsid w:val="005821B4"/>
    <w:rsid w:val="00582602"/>
    <w:rsid w:val="005827E5"/>
    <w:rsid w:val="00582966"/>
    <w:rsid w:val="0058365A"/>
    <w:rsid w:val="005839E6"/>
    <w:rsid w:val="005843BD"/>
    <w:rsid w:val="005843F7"/>
    <w:rsid w:val="005868E8"/>
    <w:rsid w:val="005924FE"/>
    <w:rsid w:val="00593A0E"/>
    <w:rsid w:val="005946D7"/>
    <w:rsid w:val="005954AD"/>
    <w:rsid w:val="005958AB"/>
    <w:rsid w:val="00596470"/>
    <w:rsid w:val="005967D8"/>
    <w:rsid w:val="005973E6"/>
    <w:rsid w:val="005A07D9"/>
    <w:rsid w:val="005A0F5D"/>
    <w:rsid w:val="005A17F9"/>
    <w:rsid w:val="005A2295"/>
    <w:rsid w:val="005A23DB"/>
    <w:rsid w:val="005A312E"/>
    <w:rsid w:val="005A3E7C"/>
    <w:rsid w:val="005A4086"/>
    <w:rsid w:val="005A4361"/>
    <w:rsid w:val="005A4CA1"/>
    <w:rsid w:val="005A4E71"/>
    <w:rsid w:val="005A58A6"/>
    <w:rsid w:val="005A59C7"/>
    <w:rsid w:val="005A690D"/>
    <w:rsid w:val="005A74D4"/>
    <w:rsid w:val="005A78E4"/>
    <w:rsid w:val="005B000C"/>
    <w:rsid w:val="005B0A4C"/>
    <w:rsid w:val="005B1C7C"/>
    <w:rsid w:val="005B2483"/>
    <w:rsid w:val="005B262E"/>
    <w:rsid w:val="005B383C"/>
    <w:rsid w:val="005B54ED"/>
    <w:rsid w:val="005B5A7E"/>
    <w:rsid w:val="005B613A"/>
    <w:rsid w:val="005B7BAA"/>
    <w:rsid w:val="005C06D6"/>
    <w:rsid w:val="005C0841"/>
    <w:rsid w:val="005C16B4"/>
    <w:rsid w:val="005C174B"/>
    <w:rsid w:val="005C2BD8"/>
    <w:rsid w:val="005C31CC"/>
    <w:rsid w:val="005C3C4F"/>
    <w:rsid w:val="005C451B"/>
    <w:rsid w:val="005C50AB"/>
    <w:rsid w:val="005C5273"/>
    <w:rsid w:val="005C5960"/>
    <w:rsid w:val="005C5B78"/>
    <w:rsid w:val="005C60B9"/>
    <w:rsid w:val="005C62C8"/>
    <w:rsid w:val="005C64A2"/>
    <w:rsid w:val="005C64AF"/>
    <w:rsid w:val="005C7642"/>
    <w:rsid w:val="005D06D4"/>
    <w:rsid w:val="005D0D48"/>
    <w:rsid w:val="005D0ED6"/>
    <w:rsid w:val="005D147D"/>
    <w:rsid w:val="005D200A"/>
    <w:rsid w:val="005D241C"/>
    <w:rsid w:val="005D3244"/>
    <w:rsid w:val="005D34A3"/>
    <w:rsid w:val="005D3967"/>
    <w:rsid w:val="005D4012"/>
    <w:rsid w:val="005D55BE"/>
    <w:rsid w:val="005D5809"/>
    <w:rsid w:val="005D59EB"/>
    <w:rsid w:val="005D6B09"/>
    <w:rsid w:val="005D6CAD"/>
    <w:rsid w:val="005D7047"/>
    <w:rsid w:val="005D7456"/>
    <w:rsid w:val="005D7FAF"/>
    <w:rsid w:val="005E043E"/>
    <w:rsid w:val="005E088A"/>
    <w:rsid w:val="005E18C4"/>
    <w:rsid w:val="005E227A"/>
    <w:rsid w:val="005E5192"/>
    <w:rsid w:val="005E5B95"/>
    <w:rsid w:val="005E63AA"/>
    <w:rsid w:val="005E6828"/>
    <w:rsid w:val="005F0540"/>
    <w:rsid w:val="005F1FEF"/>
    <w:rsid w:val="005F2DD3"/>
    <w:rsid w:val="005F3416"/>
    <w:rsid w:val="005F344D"/>
    <w:rsid w:val="005F3A69"/>
    <w:rsid w:val="005F5222"/>
    <w:rsid w:val="005F52C7"/>
    <w:rsid w:val="005F5983"/>
    <w:rsid w:val="005F5E7D"/>
    <w:rsid w:val="005F62F4"/>
    <w:rsid w:val="005F63F5"/>
    <w:rsid w:val="005F721C"/>
    <w:rsid w:val="005F724F"/>
    <w:rsid w:val="00600483"/>
    <w:rsid w:val="00600CA0"/>
    <w:rsid w:val="00601379"/>
    <w:rsid w:val="0060142D"/>
    <w:rsid w:val="00602259"/>
    <w:rsid w:val="0060234F"/>
    <w:rsid w:val="00602C46"/>
    <w:rsid w:val="006031CE"/>
    <w:rsid w:val="00604AEF"/>
    <w:rsid w:val="00604DB2"/>
    <w:rsid w:val="006063AB"/>
    <w:rsid w:val="0060739A"/>
    <w:rsid w:val="006077BA"/>
    <w:rsid w:val="00610C85"/>
    <w:rsid w:val="00610EFE"/>
    <w:rsid w:val="0061101A"/>
    <w:rsid w:val="00611794"/>
    <w:rsid w:val="00611882"/>
    <w:rsid w:val="00612500"/>
    <w:rsid w:val="0061283D"/>
    <w:rsid w:val="006134AE"/>
    <w:rsid w:val="00613ED2"/>
    <w:rsid w:val="0061480E"/>
    <w:rsid w:val="00614A0B"/>
    <w:rsid w:val="00615348"/>
    <w:rsid w:val="00615426"/>
    <w:rsid w:val="006159F8"/>
    <w:rsid w:val="00615C3A"/>
    <w:rsid w:val="00617EBE"/>
    <w:rsid w:val="00621515"/>
    <w:rsid w:val="00621DA3"/>
    <w:rsid w:val="0062278E"/>
    <w:rsid w:val="00622CB0"/>
    <w:rsid w:val="00623A3C"/>
    <w:rsid w:val="00624611"/>
    <w:rsid w:val="00624FCE"/>
    <w:rsid w:val="0062526A"/>
    <w:rsid w:val="00625F19"/>
    <w:rsid w:val="00626560"/>
    <w:rsid w:val="00626CED"/>
    <w:rsid w:val="00626D55"/>
    <w:rsid w:val="006278A8"/>
    <w:rsid w:val="006317BC"/>
    <w:rsid w:val="00632123"/>
    <w:rsid w:val="006324B6"/>
    <w:rsid w:val="00637321"/>
    <w:rsid w:val="00637477"/>
    <w:rsid w:val="00640367"/>
    <w:rsid w:val="00640953"/>
    <w:rsid w:val="00640F95"/>
    <w:rsid w:val="00641026"/>
    <w:rsid w:val="00641AC5"/>
    <w:rsid w:val="00641D19"/>
    <w:rsid w:val="00641E45"/>
    <w:rsid w:val="0064285B"/>
    <w:rsid w:val="00643B88"/>
    <w:rsid w:val="00643D64"/>
    <w:rsid w:val="00643DF6"/>
    <w:rsid w:val="00644A95"/>
    <w:rsid w:val="00644C42"/>
    <w:rsid w:val="00645754"/>
    <w:rsid w:val="0064687E"/>
    <w:rsid w:val="006513F3"/>
    <w:rsid w:val="00651AD0"/>
    <w:rsid w:val="00651E53"/>
    <w:rsid w:val="006522BC"/>
    <w:rsid w:val="00652D7A"/>
    <w:rsid w:val="00654ECA"/>
    <w:rsid w:val="00655310"/>
    <w:rsid w:val="006559AA"/>
    <w:rsid w:val="0065612F"/>
    <w:rsid w:val="006568A0"/>
    <w:rsid w:val="006600CC"/>
    <w:rsid w:val="006606C6"/>
    <w:rsid w:val="00660BAE"/>
    <w:rsid w:val="00660CE1"/>
    <w:rsid w:val="00661565"/>
    <w:rsid w:val="006616E5"/>
    <w:rsid w:val="006618A8"/>
    <w:rsid w:val="00661EBE"/>
    <w:rsid w:val="00662353"/>
    <w:rsid w:val="00663B2F"/>
    <w:rsid w:val="0066468E"/>
    <w:rsid w:val="00664E2A"/>
    <w:rsid w:val="00667104"/>
    <w:rsid w:val="00667B2C"/>
    <w:rsid w:val="00667DE1"/>
    <w:rsid w:val="00667E23"/>
    <w:rsid w:val="00670765"/>
    <w:rsid w:val="0067143A"/>
    <w:rsid w:val="00672070"/>
    <w:rsid w:val="006721E2"/>
    <w:rsid w:val="006724D2"/>
    <w:rsid w:val="00673F5F"/>
    <w:rsid w:val="00674907"/>
    <w:rsid w:val="00674987"/>
    <w:rsid w:val="006754E7"/>
    <w:rsid w:val="00675CC6"/>
    <w:rsid w:val="00675E4C"/>
    <w:rsid w:val="00676038"/>
    <w:rsid w:val="0067642B"/>
    <w:rsid w:val="006770A5"/>
    <w:rsid w:val="0067794E"/>
    <w:rsid w:val="006807EC"/>
    <w:rsid w:val="0068140B"/>
    <w:rsid w:val="00683747"/>
    <w:rsid w:val="00683E4F"/>
    <w:rsid w:val="0068462F"/>
    <w:rsid w:val="00684D44"/>
    <w:rsid w:val="006852AC"/>
    <w:rsid w:val="00685647"/>
    <w:rsid w:val="0068586F"/>
    <w:rsid w:val="0068638A"/>
    <w:rsid w:val="00686C58"/>
    <w:rsid w:val="0068719D"/>
    <w:rsid w:val="006877D5"/>
    <w:rsid w:val="00690F9F"/>
    <w:rsid w:val="0069133E"/>
    <w:rsid w:val="00691405"/>
    <w:rsid w:val="006925A2"/>
    <w:rsid w:val="006927B9"/>
    <w:rsid w:val="00692B26"/>
    <w:rsid w:val="006930E4"/>
    <w:rsid w:val="00693F96"/>
    <w:rsid w:val="006945E7"/>
    <w:rsid w:val="006949B5"/>
    <w:rsid w:val="00696781"/>
    <w:rsid w:val="00696ED9"/>
    <w:rsid w:val="0069712C"/>
    <w:rsid w:val="006973D0"/>
    <w:rsid w:val="0069742B"/>
    <w:rsid w:val="006976B5"/>
    <w:rsid w:val="00697D70"/>
    <w:rsid w:val="006A0CA7"/>
    <w:rsid w:val="006A10B0"/>
    <w:rsid w:val="006A151C"/>
    <w:rsid w:val="006A15BD"/>
    <w:rsid w:val="006A1695"/>
    <w:rsid w:val="006A1EC9"/>
    <w:rsid w:val="006A24AE"/>
    <w:rsid w:val="006A2726"/>
    <w:rsid w:val="006A2A92"/>
    <w:rsid w:val="006A2C39"/>
    <w:rsid w:val="006A3022"/>
    <w:rsid w:val="006A352F"/>
    <w:rsid w:val="006A518E"/>
    <w:rsid w:val="006A5A4E"/>
    <w:rsid w:val="006A684D"/>
    <w:rsid w:val="006A7035"/>
    <w:rsid w:val="006A7531"/>
    <w:rsid w:val="006B0231"/>
    <w:rsid w:val="006B2714"/>
    <w:rsid w:val="006B2735"/>
    <w:rsid w:val="006B289A"/>
    <w:rsid w:val="006B2ABA"/>
    <w:rsid w:val="006B430F"/>
    <w:rsid w:val="006B445C"/>
    <w:rsid w:val="006B4DA1"/>
    <w:rsid w:val="006B4F69"/>
    <w:rsid w:val="006B59AA"/>
    <w:rsid w:val="006B5E3E"/>
    <w:rsid w:val="006B5F69"/>
    <w:rsid w:val="006B6BE5"/>
    <w:rsid w:val="006B6D5C"/>
    <w:rsid w:val="006B6DE8"/>
    <w:rsid w:val="006B71EB"/>
    <w:rsid w:val="006B72A5"/>
    <w:rsid w:val="006B7E76"/>
    <w:rsid w:val="006C041B"/>
    <w:rsid w:val="006C12C0"/>
    <w:rsid w:val="006C24A6"/>
    <w:rsid w:val="006C27F4"/>
    <w:rsid w:val="006C3287"/>
    <w:rsid w:val="006C4921"/>
    <w:rsid w:val="006C574F"/>
    <w:rsid w:val="006C5A1E"/>
    <w:rsid w:val="006C5CCE"/>
    <w:rsid w:val="006C5DF2"/>
    <w:rsid w:val="006C79F2"/>
    <w:rsid w:val="006D040B"/>
    <w:rsid w:val="006D1069"/>
    <w:rsid w:val="006D1592"/>
    <w:rsid w:val="006D1813"/>
    <w:rsid w:val="006D233B"/>
    <w:rsid w:val="006D35DC"/>
    <w:rsid w:val="006D3F97"/>
    <w:rsid w:val="006D4C13"/>
    <w:rsid w:val="006D5526"/>
    <w:rsid w:val="006D6E1F"/>
    <w:rsid w:val="006D7686"/>
    <w:rsid w:val="006D7928"/>
    <w:rsid w:val="006D7E9A"/>
    <w:rsid w:val="006E0802"/>
    <w:rsid w:val="006E1347"/>
    <w:rsid w:val="006E212C"/>
    <w:rsid w:val="006E26DE"/>
    <w:rsid w:val="006E4ACA"/>
    <w:rsid w:val="006E5202"/>
    <w:rsid w:val="006E5EA3"/>
    <w:rsid w:val="006E7165"/>
    <w:rsid w:val="006F0E49"/>
    <w:rsid w:val="006F16EA"/>
    <w:rsid w:val="006F221C"/>
    <w:rsid w:val="006F298A"/>
    <w:rsid w:val="006F2B37"/>
    <w:rsid w:val="006F2B3A"/>
    <w:rsid w:val="006F36FD"/>
    <w:rsid w:val="006F3A68"/>
    <w:rsid w:val="006F3CE0"/>
    <w:rsid w:val="006F51BD"/>
    <w:rsid w:val="006F5BE4"/>
    <w:rsid w:val="006F5CC2"/>
    <w:rsid w:val="006F7B2C"/>
    <w:rsid w:val="00700149"/>
    <w:rsid w:val="007005F1"/>
    <w:rsid w:val="0070177A"/>
    <w:rsid w:val="0070213B"/>
    <w:rsid w:val="00702DED"/>
    <w:rsid w:val="0070342C"/>
    <w:rsid w:val="0070424A"/>
    <w:rsid w:val="00704BC4"/>
    <w:rsid w:val="007050C1"/>
    <w:rsid w:val="007077BB"/>
    <w:rsid w:val="00707B0E"/>
    <w:rsid w:val="00707F1C"/>
    <w:rsid w:val="007122BD"/>
    <w:rsid w:val="00712556"/>
    <w:rsid w:val="00712CCB"/>
    <w:rsid w:val="00712E61"/>
    <w:rsid w:val="00714C67"/>
    <w:rsid w:val="00716E5E"/>
    <w:rsid w:val="00717637"/>
    <w:rsid w:val="007204C8"/>
    <w:rsid w:val="0072120C"/>
    <w:rsid w:val="00723031"/>
    <w:rsid w:val="00724975"/>
    <w:rsid w:val="00724A50"/>
    <w:rsid w:val="00724F93"/>
    <w:rsid w:val="00725F2C"/>
    <w:rsid w:val="0072608E"/>
    <w:rsid w:val="007318BD"/>
    <w:rsid w:val="00731F37"/>
    <w:rsid w:val="00732A1D"/>
    <w:rsid w:val="00732AD3"/>
    <w:rsid w:val="00732C3E"/>
    <w:rsid w:val="00732CE9"/>
    <w:rsid w:val="00732F51"/>
    <w:rsid w:val="00733168"/>
    <w:rsid w:val="00733C69"/>
    <w:rsid w:val="00733D9F"/>
    <w:rsid w:val="00733DAA"/>
    <w:rsid w:val="00733DF0"/>
    <w:rsid w:val="007340D2"/>
    <w:rsid w:val="0073477C"/>
    <w:rsid w:val="00735040"/>
    <w:rsid w:val="0073528A"/>
    <w:rsid w:val="00735699"/>
    <w:rsid w:val="00735E45"/>
    <w:rsid w:val="00736EFF"/>
    <w:rsid w:val="00737230"/>
    <w:rsid w:val="00737B83"/>
    <w:rsid w:val="00737F08"/>
    <w:rsid w:val="0074061D"/>
    <w:rsid w:val="0074131F"/>
    <w:rsid w:val="00742252"/>
    <w:rsid w:val="00742418"/>
    <w:rsid w:val="007427FE"/>
    <w:rsid w:val="007428A9"/>
    <w:rsid w:val="007434F0"/>
    <w:rsid w:val="0074410C"/>
    <w:rsid w:val="00744854"/>
    <w:rsid w:val="007451A8"/>
    <w:rsid w:val="007451D4"/>
    <w:rsid w:val="007454B8"/>
    <w:rsid w:val="0074574B"/>
    <w:rsid w:val="007458BE"/>
    <w:rsid w:val="007464B2"/>
    <w:rsid w:val="00746A3B"/>
    <w:rsid w:val="0075049C"/>
    <w:rsid w:val="00750667"/>
    <w:rsid w:val="00750955"/>
    <w:rsid w:val="00751C56"/>
    <w:rsid w:val="00752828"/>
    <w:rsid w:val="00752982"/>
    <w:rsid w:val="00752F55"/>
    <w:rsid w:val="00752F78"/>
    <w:rsid w:val="00753794"/>
    <w:rsid w:val="00754B9D"/>
    <w:rsid w:val="0075529E"/>
    <w:rsid w:val="00755303"/>
    <w:rsid w:val="007565A9"/>
    <w:rsid w:val="007572E7"/>
    <w:rsid w:val="0075781F"/>
    <w:rsid w:val="007613DC"/>
    <w:rsid w:val="00761CE1"/>
    <w:rsid w:val="00761E56"/>
    <w:rsid w:val="00761FF4"/>
    <w:rsid w:val="007628C6"/>
    <w:rsid w:val="007639A4"/>
    <w:rsid w:val="00764219"/>
    <w:rsid w:val="00764B7E"/>
    <w:rsid w:val="00764BA0"/>
    <w:rsid w:val="00764BDF"/>
    <w:rsid w:val="00765D5F"/>
    <w:rsid w:val="007663B6"/>
    <w:rsid w:val="00766DDB"/>
    <w:rsid w:val="00767485"/>
    <w:rsid w:val="00767EC5"/>
    <w:rsid w:val="007707DE"/>
    <w:rsid w:val="00770B05"/>
    <w:rsid w:val="007711B6"/>
    <w:rsid w:val="00771BAE"/>
    <w:rsid w:val="00771E7C"/>
    <w:rsid w:val="00772AA8"/>
    <w:rsid w:val="00773521"/>
    <w:rsid w:val="00773D99"/>
    <w:rsid w:val="00773FD0"/>
    <w:rsid w:val="00775036"/>
    <w:rsid w:val="007750FE"/>
    <w:rsid w:val="00775361"/>
    <w:rsid w:val="0077583F"/>
    <w:rsid w:val="00776696"/>
    <w:rsid w:val="00776AAF"/>
    <w:rsid w:val="007812D2"/>
    <w:rsid w:val="007817A1"/>
    <w:rsid w:val="00783F14"/>
    <w:rsid w:val="00784020"/>
    <w:rsid w:val="007841EE"/>
    <w:rsid w:val="00785FE0"/>
    <w:rsid w:val="00787CB1"/>
    <w:rsid w:val="0079017B"/>
    <w:rsid w:val="00791199"/>
    <w:rsid w:val="00793FC7"/>
    <w:rsid w:val="00794974"/>
    <w:rsid w:val="00795360"/>
    <w:rsid w:val="00795FC7"/>
    <w:rsid w:val="007964FF"/>
    <w:rsid w:val="007972A4"/>
    <w:rsid w:val="0079745C"/>
    <w:rsid w:val="00797829"/>
    <w:rsid w:val="007A0276"/>
    <w:rsid w:val="007A0CAC"/>
    <w:rsid w:val="007A1790"/>
    <w:rsid w:val="007A2AB5"/>
    <w:rsid w:val="007A3CE1"/>
    <w:rsid w:val="007A4D0A"/>
    <w:rsid w:val="007A505C"/>
    <w:rsid w:val="007A596B"/>
    <w:rsid w:val="007A7F0F"/>
    <w:rsid w:val="007B01A7"/>
    <w:rsid w:val="007B028D"/>
    <w:rsid w:val="007B0338"/>
    <w:rsid w:val="007B0504"/>
    <w:rsid w:val="007B1A76"/>
    <w:rsid w:val="007B25B2"/>
    <w:rsid w:val="007B260D"/>
    <w:rsid w:val="007B4252"/>
    <w:rsid w:val="007B45B6"/>
    <w:rsid w:val="007B4630"/>
    <w:rsid w:val="007B5540"/>
    <w:rsid w:val="007B5E17"/>
    <w:rsid w:val="007B6A0B"/>
    <w:rsid w:val="007B7B0C"/>
    <w:rsid w:val="007C1ECD"/>
    <w:rsid w:val="007C2A68"/>
    <w:rsid w:val="007C2D2E"/>
    <w:rsid w:val="007C2FE8"/>
    <w:rsid w:val="007C462E"/>
    <w:rsid w:val="007C4E7E"/>
    <w:rsid w:val="007C5CD3"/>
    <w:rsid w:val="007C6161"/>
    <w:rsid w:val="007C705D"/>
    <w:rsid w:val="007C71CA"/>
    <w:rsid w:val="007C7227"/>
    <w:rsid w:val="007C7DF3"/>
    <w:rsid w:val="007C7EF0"/>
    <w:rsid w:val="007D06D4"/>
    <w:rsid w:val="007D10EC"/>
    <w:rsid w:val="007D14DD"/>
    <w:rsid w:val="007D1B5B"/>
    <w:rsid w:val="007D2B8D"/>
    <w:rsid w:val="007D2DAE"/>
    <w:rsid w:val="007D35D2"/>
    <w:rsid w:val="007D392D"/>
    <w:rsid w:val="007D3E41"/>
    <w:rsid w:val="007D3E7A"/>
    <w:rsid w:val="007D51AE"/>
    <w:rsid w:val="007D5DAE"/>
    <w:rsid w:val="007D6853"/>
    <w:rsid w:val="007D6A95"/>
    <w:rsid w:val="007D79F9"/>
    <w:rsid w:val="007D7C6D"/>
    <w:rsid w:val="007E03FD"/>
    <w:rsid w:val="007E0B18"/>
    <w:rsid w:val="007E1F0E"/>
    <w:rsid w:val="007E22A9"/>
    <w:rsid w:val="007E28AB"/>
    <w:rsid w:val="007E2AAA"/>
    <w:rsid w:val="007E309A"/>
    <w:rsid w:val="007E3281"/>
    <w:rsid w:val="007E3F66"/>
    <w:rsid w:val="007E4D4E"/>
    <w:rsid w:val="007E50E3"/>
    <w:rsid w:val="007E5295"/>
    <w:rsid w:val="007E58EB"/>
    <w:rsid w:val="007E6DB9"/>
    <w:rsid w:val="007E7217"/>
    <w:rsid w:val="007E7A39"/>
    <w:rsid w:val="007F066C"/>
    <w:rsid w:val="007F0708"/>
    <w:rsid w:val="007F0C9F"/>
    <w:rsid w:val="007F105E"/>
    <w:rsid w:val="007F1418"/>
    <w:rsid w:val="007F338F"/>
    <w:rsid w:val="007F39E2"/>
    <w:rsid w:val="007F3E31"/>
    <w:rsid w:val="007F45C3"/>
    <w:rsid w:val="007F499B"/>
    <w:rsid w:val="007F4BE0"/>
    <w:rsid w:val="007F51E2"/>
    <w:rsid w:val="007F5510"/>
    <w:rsid w:val="007F58A6"/>
    <w:rsid w:val="007F6645"/>
    <w:rsid w:val="007F6776"/>
    <w:rsid w:val="007F6C01"/>
    <w:rsid w:val="007F6E64"/>
    <w:rsid w:val="007F6F3B"/>
    <w:rsid w:val="007F718E"/>
    <w:rsid w:val="007F78B8"/>
    <w:rsid w:val="007F7BF3"/>
    <w:rsid w:val="00800D9A"/>
    <w:rsid w:val="00801D2C"/>
    <w:rsid w:val="0080256D"/>
    <w:rsid w:val="00802A16"/>
    <w:rsid w:val="008035D8"/>
    <w:rsid w:val="00804976"/>
    <w:rsid w:val="00804D3F"/>
    <w:rsid w:val="00806229"/>
    <w:rsid w:val="0080654A"/>
    <w:rsid w:val="008071B4"/>
    <w:rsid w:val="0080728A"/>
    <w:rsid w:val="00807329"/>
    <w:rsid w:val="00807E25"/>
    <w:rsid w:val="00810111"/>
    <w:rsid w:val="008102B3"/>
    <w:rsid w:val="00810A23"/>
    <w:rsid w:val="008115E0"/>
    <w:rsid w:val="00811B04"/>
    <w:rsid w:val="00811BCD"/>
    <w:rsid w:val="00811F24"/>
    <w:rsid w:val="008122A6"/>
    <w:rsid w:val="00812716"/>
    <w:rsid w:val="00812A59"/>
    <w:rsid w:val="00812EDC"/>
    <w:rsid w:val="008134A5"/>
    <w:rsid w:val="00813D48"/>
    <w:rsid w:val="00813DFD"/>
    <w:rsid w:val="008148A2"/>
    <w:rsid w:val="00814A12"/>
    <w:rsid w:val="00814B81"/>
    <w:rsid w:val="008152B9"/>
    <w:rsid w:val="00815362"/>
    <w:rsid w:val="00816ABE"/>
    <w:rsid w:val="00816C1C"/>
    <w:rsid w:val="008178EE"/>
    <w:rsid w:val="008205F1"/>
    <w:rsid w:val="0082070C"/>
    <w:rsid w:val="00820976"/>
    <w:rsid w:val="00821346"/>
    <w:rsid w:val="008213A6"/>
    <w:rsid w:val="008215AE"/>
    <w:rsid w:val="00821D3B"/>
    <w:rsid w:val="008228EF"/>
    <w:rsid w:val="00822D90"/>
    <w:rsid w:val="00822FDE"/>
    <w:rsid w:val="00825FEE"/>
    <w:rsid w:val="0082609E"/>
    <w:rsid w:val="00826593"/>
    <w:rsid w:val="00826659"/>
    <w:rsid w:val="008272FF"/>
    <w:rsid w:val="008302A9"/>
    <w:rsid w:val="00830F42"/>
    <w:rsid w:val="00831401"/>
    <w:rsid w:val="00831589"/>
    <w:rsid w:val="0083207F"/>
    <w:rsid w:val="00832774"/>
    <w:rsid w:val="00832D05"/>
    <w:rsid w:val="008354BA"/>
    <w:rsid w:val="0083571F"/>
    <w:rsid w:val="00835802"/>
    <w:rsid w:val="00835D26"/>
    <w:rsid w:val="00835FDF"/>
    <w:rsid w:val="00836489"/>
    <w:rsid w:val="0083656D"/>
    <w:rsid w:val="008375A1"/>
    <w:rsid w:val="00837707"/>
    <w:rsid w:val="0084053F"/>
    <w:rsid w:val="00840DF8"/>
    <w:rsid w:val="00841E39"/>
    <w:rsid w:val="00842742"/>
    <w:rsid w:val="008440E4"/>
    <w:rsid w:val="00844171"/>
    <w:rsid w:val="00844896"/>
    <w:rsid w:val="00844A74"/>
    <w:rsid w:val="00844C4A"/>
    <w:rsid w:val="00845A5F"/>
    <w:rsid w:val="00845BAB"/>
    <w:rsid w:val="00845D64"/>
    <w:rsid w:val="008475E4"/>
    <w:rsid w:val="00850036"/>
    <w:rsid w:val="00850FF7"/>
    <w:rsid w:val="00851296"/>
    <w:rsid w:val="008527AB"/>
    <w:rsid w:val="00853912"/>
    <w:rsid w:val="00853A76"/>
    <w:rsid w:val="00853F59"/>
    <w:rsid w:val="0085437D"/>
    <w:rsid w:val="008543C8"/>
    <w:rsid w:val="008545F4"/>
    <w:rsid w:val="00854DA0"/>
    <w:rsid w:val="00855466"/>
    <w:rsid w:val="00855F20"/>
    <w:rsid w:val="00856128"/>
    <w:rsid w:val="008562E2"/>
    <w:rsid w:val="00856859"/>
    <w:rsid w:val="00856B99"/>
    <w:rsid w:val="008570C2"/>
    <w:rsid w:val="0085746C"/>
    <w:rsid w:val="0086024C"/>
    <w:rsid w:val="0086024E"/>
    <w:rsid w:val="008608A0"/>
    <w:rsid w:val="00860B20"/>
    <w:rsid w:val="00860D0A"/>
    <w:rsid w:val="00861485"/>
    <w:rsid w:val="008617E8"/>
    <w:rsid w:val="008624F6"/>
    <w:rsid w:val="0086337C"/>
    <w:rsid w:val="008639F7"/>
    <w:rsid w:val="008649D1"/>
    <w:rsid w:val="00864AC6"/>
    <w:rsid w:val="00865D90"/>
    <w:rsid w:val="0086607A"/>
    <w:rsid w:val="0086617C"/>
    <w:rsid w:val="00867908"/>
    <w:rsid w:val="00867EEA"/>
    <w:rsid w:val="00871561"/>
    <w:rsid w:val="008723BC"/>
    <w:rsid w:val="00872BAE"/>
    <w:rsid w:val="00873916"/>
    <w:rsid w:val="008739D3"/>
    <w:rsid w:val="00873CB9"/>
    <w:rsid w:val="00873E3F"/>
    <w:rsid w:val="00874968"/>
    <w:rsid w:val="00875B63"/>
    <w:rsid w:val="0087619A"/>
    <w:rsid w:val="00876D62"/>
    <w:rsid w:val="00877588"/>
    <w:rsid w:val="00877CB0"/>
    <w:rsid w:val="0088001B"/>
    <w:rsid w:val="0088135E"/>
    <w:rsid w:val="00881BCE"/>
    <w:rsid w:val="00882A8D"/>
    <w:rsid w:val="00882DBA"/>
    <w:rsid w:val="0088332D"/>
    <w:rsid w:val="00884349"/>
    <w:rsid w:val="00884650"/>
    <w:rsid w:val="00884955"/>
    <w:rsid w:val="008849A0"/>
    <w:rsid w:val="00884B06"/>
    <w:rsid w:val="00885206"/>
    <w:rsid w:val="008857DB"/>
    <w:rsid w:val="00885F53"/>
    <w:rsid w:val="00886B9F"/>
    <w:rsid w:val="00886F95"/>
    <w:rsid w:val="00887578"/>
    <w:rsid w:val="00887991"/>
    <w:rsid w:val="00890BB1"/>
    <w:rsid w:val="00891F14"/>
    <w:rsid w:val="008923DB"/>
    <w:rsid w:val="008929D1"/>
    <w:rsid w:val="00893115"/>
    <w:rsid w:val="008939C2"/>
    <w:rsid w:val="00893D9C"/>
    <w:rsid w:val="00894ED2"/>
    <w:rsid w:val="0089516F"/>
    <w:rsid w:val="008958BD"/>
    <w:rsid w:val="00897BB3"/>
    <w:rsid w:val="008A0200"/>
    <w:rsid w:val="008A0C28"/>
    <w:rsid w:val="008A0CA1"/>
    <w:rsid w:val="008A1B69"/>
    <w:rsid w:val="008A2FEF"/>
    <w:rsid w:val="008A3355"/>
    <w:rsid w:val="008A374C"/>
    <w:rsid w:val="008A391D"/>
    <w:rsid w:val="008A3D4B"/>
    <w:rsid w:val="008A4314"/>
    <w:rsid w:val="008A45F4"/>
    <w:rsid w:val="008A492F"/>
    <w:rsid w:val="008A593F"/>
    <w:rsid w:val="008A5AEB"/>
    <w:rsid w:val="008A5E0B"/>
    <w:rsid w:val="008A6785"/>
    <w:rsid w:val="008A6C9D"/>
    <w:rsid w:val="008A6D3E"/>
    <w:rsid w:val="008A7AF2"/>
    <w:rsid w:val="008A7E1D"/>
    <w:rsid w:val="008B0DCD"/>
    <w:rsid w:val="008B19B7"/>
    <w:rsid w:val="008B28D4"/>
    <w:rsid w:val="008B3391"/>
    <w:rsid w:val="008B4417"/>
    <w:rsid w:val="008B4E74"/>
    <w:rsid w:val="008B6B48"/>
    <w:rsid w:val="008B6E7E"/>
    <w:rsid w:val="008B7A8B"/>
    <w:rsid w:val="008C02CA"/>
    <w:rsid w:val="008C03FD"/>
    <w:rsid w:val="008C08BA"/>
    <w:rsid w:val="008C187F"/>
    <w:rsid w:val="008C239D"/>
    <w:rsid w:val="008C329B"/>
    <w:rsid w:val="008C3491"/>
    <w:rsid w:val="008C3546"/>
    <w:rsid w:val="008C398D"/>
    <w:rsid w:val="008C68CB"/>
    <w:rsid w:val="008C79E4"/>
    <w:rsid w:val="008C7ABF"/>
    <w:rsid w:val="008D0ED1"/>
    <w:rsid w:val="008D1B85"/>
    <w:rsid w:val="008D348E"/>
    <w:rsid w:val="008D383F"/>
    <w:rsid w:val="008D52D8"/>
    <w:rsid w:val="008D629E"/>
    <w:rsid w:val="008D7591"/>
    <w:rsid w:val="008D7A0A"/>
    <w:rsid w:val="008D7DE4"/>
    <w:rsid w:val="008E0FC9"/>
    <w:rsid w:val="008E160A"/>
    <w:rsid w:val="008E19A7"/>
    <w:rsid w:val="008E25FC"/>
    <w:rsid w:val="008E2F4C"/>
    <w:rsid w:val="008E3393"/>
    <w:rsid w:val="008E39C1"/>
    <w:rsid w:val="008E418D"/>
    <w:rsid w:val="008E587A"/>
    <w:rsid w:val="008E661D"/>
    <w:rsid w:val="008F0429"/>
    <w:rsid w:val="008F045B"/>
    <w:rsid w:val="008F075E"/>
    <w:rsid w:val="008F088E"/>
    <w:rsid w:val="008F11DF"/>
    <w:rsid w:val="008F15B2"/>
    <w:rsid w:val="008F1978"/>
    <w:rsid w:val="008F1A37"/>
    <w:rsid w:val="008F2990"/>
    <w:rsid w:val="008F5958"/>
    <w:rsid w:val="008F60EB"/>
    <w:rsid w:val="008F6F38"/>
    <w:rsid w:val="008F7001"/>
    <w:rsid w:val="008F746C"/>
    <w:rsid w:val="008F7FCE"/>
    <w:rsid w:val="009008E0"/>
    <w:rsid w:val="00901313"/>
    <w:rsid w:val="009013F5"/>
    <w:rsid w:val="00901585"/>
    <w:rsid w:val="009015B5"/>
    <w:rsid w:val="009018F7"/>
    <w:rsid w:val="00901E80"/>
    <w:rsid w:val="009020A4"/>
    <w:rsid w:val="009023E1"/>
    <w:rsid w:val="00903383"/>
    <w:rsid w:val="009056FD"/>
    <w:rsid w:val="00905B78"/>
    <w:rsid w:val="00905BC6"/>
    <w:rsid w:val="0090699A"/>
    <w:rsid w:val="00906B20"/>
    <w:rsid w:val="00910337"/>
    <w:rsid w:val="00910AB3"/>
    <w:rsid w:val="0091419D"/>
    <w:rsid w:val="009142BB"/>
    <w:rsid w:val="00914A6E"/>
    <w:rsid w:val="00915233"/>
    <w:rsid w:val="00915995"/>
    <w:rsid w:val="00915CF4"/>
    <w:rsid w:val="00921463"/>
    <w:rsid w:val="00921AA7"/>
    <w:rsid w:val="009223E6"/>
    <w:rsid w:val="009238C9"/>
    <w:rsid w:val="00925D04"/>
    <w:rsid w:val="0092667E"/>
    <w:rsid w:val="009270D4"/>
    <w:rsid w:val="00927E96"/>
    <w:rsid w:val="00930063"/>
    <w:rsid w:val="00930BBC"/>
    <w:rsid w:val="009310B1"/>
    <w:rsid w:val="0093220B"/>
    <w:rsid w:val="00933049"/>
    <w:rsid w:val="00933596"/>
    <w:rsid w:val="00933E60"/>
    <w:rsid w:val="00934388"/>
    <w:rsid w:val="00934930"/>
    <w:rsid w:val="00935DC6"/>
    <w:rsid w:val="0093620A"/>
    <w:rsid w:val="009368D8"/>
    <w:rsid w:val="00936DCE"/>
    <w:rsid w:val="00937256"/>
    <w:rsid w:val="0093727F"/>
    <w:rsid w:val="009376A1"/>
    <w:rsid w:val="00937BAF"/>
    <w:rsid w:val="00940707"/>
    <w:rsid w:val="00940D4E"/>
    <w:rsid w:val="009412AB"/>
    <w:rsid w:val="009412C4"/>
    <w:rsid w:val="009417CD"/>
    <w:rsid w:val="00942A81"/>
    <w:rsid w:val="00942D8B"/>
    <w:rsid w:val="00943085"/>
    <w:rsid w:val="009432C4"/>
    <w:rsid w:val="009438A9"/>
    <w:rsid w:val="00943D91"/>
    <w:rsid w:val="009440DC"/>
    <w:rsid w:val="00944396"/>
    <w:rsid w:val="00944953"/>
    <w:rsid w:val="00945208"/>
    <w:rsid w:val="00946107"/>
    <w:rsid w:val="0094762F"/>
    <w:rsid w:val="009509FE"/>
    <w:rsid w:val="00950EAF"/>
    <w:rsid w:val="009525C8"/>
    <w:rsid w:val="009526D2"/>
    <w:rsid w:val="009527EE"/>
    <w:rsid w:val="00953236"/>
    <w:rsid w:val="00953CC2"/>
    <w:rsid w:val="00954704"/>
    <w:rsid w:val="009554E0"/>
    <w:rsid w:val="00955B51"/>
    <w:rsid w:val="00956CBE"/>
    <w:rsid w:val="00956F1E"/>
    <w:rsid w:val="009572F7"/>
    <w:rsid w:val="009575F8"/>
    <w:rsid w:val="00957D3D"/>
    <w:rsid w:val="00960CC4"/>
    <w:rsid w:val="00961065"/>
    <w:rsid w:val="00964931"/>
    <w:rsid w:val="00964AFE"/>
    <w:rsid w:val="009653CE"/>
    <w:rsid w:val="00966651"/>
    <w:rsid w:val="0096674A"/>
    <w:rsid w:val="0096734E"/>
    <w:rsid w:val="00967850"/>
    <w:rsid w:val="00972981"/>
    <w:rsid w:val="00974EF2"/>
    <w:rsid w:val="009765D2"/>
    <w:rsid w:val="00976C9A"/>
    <w:rsid w:val="0097707D"/>
    <w:rsid w:val="00977750"/>
    <w:rsid w:val="00977B40"/>
    <w:rsid w:val="009805C7"/>
    <w:rsid w:val="0098060C"/>
    <w:rsid w:val="0098117C"/>
    <w:rsid w:val="00981BDF"/>
    <w:rsid w:val="00983857"/>
    <w:rsid w:val="0098426F"/>
    <w:rsid w:val="00984D7A"/>
    <w:rsid w:val="00985F6B"/>
    <w:rsid w:val="009875DD"/>
    <w:rsid w:val="00987CA9"/>
    <w:rsid w:val="009906D2"/>
    <w:rsid w:val="00990F66"/>
    <w:rsid w:val="00991C1C"/>
    <w:rsid w:val="00991F51"/>
    <w:rsid w:val="00993148"/>
    <w:rsid w:val="00993567"/>
    <w:rsid w:val="009940D4"/>
    <w:rsid w:val="00995BE6"/>
    <w:rsid w:val="00997606"/>
    <w:rsid w:val="00997E13"/>
    <w:rsid w:val="009A03F1"/>
    <w:rsid w:val="009A1C9D"/>
    <w:rsid w:val="009A275C"/>
    <w:rsid w:val="009A3950"/>
    <w:rsid w:val="009A4A60"/>
    <w:rsid w:val="009A4F39"/>
    <w:rsid w:val="009A5DAE"/>
    <w:rsid w:val="009A5E39"/>
    <w:rsid w:val="009A5EAF"/>
    <w:rsid w:val="009A70D6"/>
    <w:rsid w:val="009B0665"/>
    <w:rsid w:val="009B1B9D"/>
    <w:rsid w:val="009B1BE8"/>
    <w:rsid w:val="009B22A2"/>
    <w:rsid w:val="009B2826"/>
    <w:rsid w:val="009B3050"/>
    <w:rsid w:val="009B314A"/>
    <w:rsid w:val="009B33B2"/>
    <w:rsid w:val="009B3B20"/>
    <w:rsid w:val="009B676A"/>
    <w:rsid w:val="009B6A5A"/>
    <w:rsid w:val="009B716F"/>
    <w:rsid w:val="009B7222"/>
    <w:rsid w:val="009B7434"/>
    <w:rsid w:val="009B77BE"/>
    <w:rsid w:val="009C09CF"/>
    <w:rsid w:val="009C0E79"/>
    <w:rsid w:val="009C11C6"/>
    <w:rsid w:val="009C1783"/>
    <w:rsid w:val="009C17D1"/>
    <w:rsid w:val="009C1A87"/>
    <w:rsid w:val="009C1BB6"/>
    <w:rsid w:val="009C2554"/>
    <w:rsid w:val="009C2A1A"/>
    <w:rsid w:val="009C2D08"/>
    <w:rsid w:val="009C2D3F"/>
    <w:rsid w:val="009C2FE7"/>
    <w:rsid w:val="009C4150"/>
    <w:rsid w:val="009C49F0"/>
    <w:rsid w:val="009C4BC8"/>
    <w:rsid w:val="009C5497"/>
    <w:rsid w:val="009C631D"/>
    <w:rsid w:val="009C6F23"/>
    <w:rsid w:val="009C7408"/>
    <w:rsid w:val="009D028F"/>
    <w:rsid w:val="009D073D"/>
    <w:rsid w:val="009D32DB"/>
    <w:rsid w:val="009D3A5D"/>
    <w:rsid w:val="009D4A15"/>
    <w:rsid w:val="009D4B8F"/>
    <w:rsid w:val="009D4CBD"/>
    <w:rsid w:val="009D5942"/>
    <w:rsid w:val="009D5AB1"/>
    <w:rsid w:val="009D685F"/>
    <w:rsid w:val="009D6BA2"/>
    <w:rsid w:val="009D72AB"/>
    <w:rsid w:val="009D7B5A"/>
    <w:rsid w:val="009D7D8F"/>
    <w:rsid w:val="009E1D0B"/>
    <w:rsid w:val="009E2874"/>
    <w:rsid w:val="009E2D85"/>
    <w:rsid w:val="009E33A7"/>
    <w:rsid w:val="009E522E"/>
    <w:rsid w:val="009E559A"/>
    <w:rsid w:val="009E5716"/>
    <w:rsid w:val="009E605C"/>
    <w:rsid w:val="009E64DD"/>
    <w:rsid w:val="009E76E0"/>
    <w:rsid w:val="009F0116"/>
    <w:rsid w:val="009F0182"/>
    <w:rsid w:val="009F0636"/>
    <w:rsid w:val="009F0C24"/>
    <w:rsid w:val="009F0F21"/>
    <w:rsid w:val="009F14CE"/>
    <w:rsid w:val="009F29EC"/>
    <w:rsid w:val="009F338C"/>
    <w:rsid w:val="009F3DA9"/>
    <w:rsid w:val="009F3DAF"/>
    <w:rsid w:val="009F3DF8"/>
    <w:rsid w:val="009F4D40"/>
    <w:rsid w:val="009F5A88"/>
    <w:rsid w:val="009F7B63"/>
    <w:rsid w:val="00A0009D"/>
    <w:rsid w:val="00A0284B"/>
    <w:rsid w:val="00A02B4C"/>
    <w:rsid w:val="00A03125"/>
    <w:rsid w:val="00A035B8"/>
    <w:rsid w:val="00A03823"/>
    <w:rsid w:val="00A03B01"/>
    <w:rsid w:val="00A048E9"/>
    <w:rsid w:val="00A05612"/>
    <w:rsid w:val="00A07978"/>
    <w:rsid w:val="00A108D5"/>
    <w:rsid w:val="00A10924"/>
    <w:rsid w:val="00A1140B"/>
    <w:rsid w:val="00A11617"/>
    <w:rsid w:val="00A117F6"/>
    <w:rsid w:val="00A11B39"/>
    <w:rsid w:val="00A121DC"/>
    <w:rsid w:val="00A1232D"/>
    <w:rsid w:val="00A12E6B"/>
    <w:rsid w:val="00A13105"/>
    <w:rsid w:val="00A1310E"/>
    <w:rsid w:val="00A13B06"/>
    <w:rsid w:val="00A14093"/>
    <w:rsid w:val="00A16A89"/>
    <w:rsid w:val="00A16C13"/>
    <w:rsid w:val="00A173E4"/>
    <w:rsid w:val="00A17AE0"/>
    <w:rsid w:val="00A17B1D"/>
    <w:rsid w:val="00A17F15"/>
    <w:rsid w:val="00A17FC4"/>
    <w:rsid w:val="00A202E1"/>
    <w:rsid w:val="00A20A24"/>
    <w:rsid w:val="00A20B2E"/>
    <w:rsid w:val="00A213B7"/>
    <w:rsid w:val="00A2166D"/>
    <w:rsid w:val="00A21C7C"/>
    <w:rsid w:val="00A22785"/>
    <w:rsid w:val="00A22BE6"/>
    <w:rsid w:val="00A22C4D"/>
    <w:rsid w:val="00A25774"/>
    <w:rsid w:val="00A261DF"/>
    <w:rsid w:val="00A26807"/>
    <w:rsid w:val="00A2692E"/>
    <w:rsid w:val="00A26E5E"/>
    <w:rsid w:val="00A27145"/>
    <w:rsid w:val="00A27499"/>
    <w:rsid w:val="00A277A8"/>
    <w:rsid w:val="00A278F9"/>
    <w:rsid w:val="00A30096"/>
    <w:rsid w:val="00A301C9"/>
    <w:rsid w:val="00A3030E"/>
    <w:rsid w:val="00A308CC"/>
    <w:rsid w:val="00A3157B"/>
    <w:rsid w:val="00A32175"/>
    <w:rsid w:val="00A32394"/>
    <w:rsid w:val="00A32513"/>
    <w:rsid w:val="00A32A76"/>
    <w:rsid w:val="00A32B76"/>
    <w:rsid w:val="00A32F1A"/>
    <w:rsid w:val="00A34092"/>
    <w:rsid w:val="00A348CE"/>
    <w:rsid w:val="00A34EB4"/>
    <w:rsid w:val="00A35407"/>
    <w:rsid w:val="00A356CE"/>
    <w:rsid w:val="00A3642F"/>
    <w:rsid w:val="00A37965"/>
    <w:rsid w:val="00A405F4"/>
    <w:rsid w:val="00A43298"/>
    <w:rsid w:val="00A432B1"/>
    <w:rsid w:val="00A43369"/>
    <w:rsid w:val="00A44113"/>
    <w:rsid w:val="00A446CA"/>
    <w:rsid w:val="00A45EFE"/>
    <w:rsid w:val="00A46C2D"/>
    <w:rsid w:val="00A46C30"/>
    <w:rsid w:val="00A503CD"/>
    <w:rsid w:val="00A50522"/>
    <w:rsid w:val="00A51321"/>
    <w:rsid w:val="00A51580"/>
    <w:rsid w:val="00A5198E"/>
    <w:rsid w:val="00A51CD3"/>
    <w:rsid w:val="00A51EE4"/>
    <w:rsid w:val="00A5366F"/>
    <w:rsid w:val="00A54C08"/>
    <w:rsid w:val="00A5606A"/>
    <w:rsid w:val="00A57092"/>
    <w:rsid w:val="00A60666"/>
    <w:rsid w:val="00A60BC5"/>
    <w:rsid w:val="00A6101E"/>
    <w:rsid w:val="00A6173B"/>
    <w:rsid w:val="00A6177D"/>
    <w:rsid w:val="00A62259"/>
    <w:rsid w:val="00A62CEC"/>
    <w:rsid w:val="00A63FA5"/>
    <w:rsid w:val="00A64967"/>
    <w:rsid w:val="00A64A64"/>
    <w:rsid w:val="00A65324"/>
    <w:rsid w:val="00A66036"/>
    <w:rsid w:val="00A67E3F"/>
    <w:rsid w:val="00A70226"/>
    <w:rsid w:val="00A704D1"/>
    <w:rsid w:val="00A70A54"/>
    <w:rsid w:val="00A71527"/>
    <w:rsid w:val="00A7184C"/>
    <w:rsid w:val="00A71874"/>
    <w:rsid w:val="00A7208B"/>
    <w:rsid w:val="00A72800"/>
    <w:rsid w:val="00A731B8"/>
    <w:rsid w:val="00A73861"/>
    <w:rsid w:val="00A73B09"/>
    <w:rsid w:val="00A746D4"/>
    <w:rsid w:val="00A747C4"/>
    <w:rsid w:val="00A77B1C"/>
    <w:rsid w:val="00A81C71"/>
    <w:rsid w:val="00A81D7D"/>
    <w:rsid w:val="00A8294B"/>
    <w:rsid w:val="00A83664"/>
    <w:rsid w:val="00A83707"/>
    <w:rsid w:val="00A84AEA"/>
    <w:rsid w:val="00A84D67"/>
    <w:rsid w:val="00A8658F"/>
    <w:rsid w:val="00A86AF0"/>
    <w:rsid w:val="00A86CB5"/>
    <w:rsid w:val="00A87279"/>
    <w:rsid w:val="00A8729A"/>
    <w:rsid w:val="00A87345"/>
    <w:rsid w:val="00A87408"/>
    <w:rsid w:val="00A8773E"/>
    <w:rsid w:val="00A90A16"/>
    <w:rsid w:val="00A91102"/>
    <w:rsid w:val="00A91923"/>
    <w:rsid w:val="00A91F42"/>
    <w:rsid w:val="00A92800"/>
    <w:rsid w:val="00A93EBF"/>
    <w:rsid w:val="00A9406C"/>
    <w:rsid w:val="00A95288"/>
    <w:rsid w:val="00A95D4D"/>
    <w:rsid w:val="00A96241"/>
    <w:rsid w:val="00A96602"/>
    <w:rsid w:val="00A973DC"/>
    <w:rsid w:val="00A97411"/>
    <w:rsid w:val="00A9779D"/>
    <w:rsid w:val="00A9781B"/>
    <w:rsid w:val="00AA0038"/>
    <w:rsid w:val="00AA0B9E"/>
    <w:rsid w:val="00AA1ACA"/>
    <w:rsid w:val="00AA2013"/>
    <w:rsid w:val="00AA332A"/>
    <w:rsid w:val="00AA3EFC"/>
    <w:rsid w:val="00AA44DE"/>
    <w:rsid w:val="00AA4F45"/>
    <w:rsid w:val="00AA57F2"/>
    <w:rsid w:val="00AA5D31"/>
    <w:rsid w:val="00AA6580"/>
    <w:rsid w:val="00AA6CCC"/>
    <w:rsid w:val="00AB017B"/>
    <w:rsid w:val="00AB2F27"/>
    <w:rsid w:val="00AB3162"/>
    <w:rsid w:val="00AB34D3"/>
    <w:rsid w:val="00AB39F5"/>
    <w:rsid w:val="00AB3BEA"/>
    <w:rsid w:val="00AB3F0D"/>
    <w:rsid w:val="00AB48EE"/>
    <w:rsid w:val="00AB5122"/>
    <w:rsid w:val="00AB5EDE"/>
    <w:rsid w:val="00AB6811"/>
    <w:rsid w:val="00AB6E1C"/>
    <w:rsid w:val="00AC034A"/>
    <w:rsid w:val="00AC05DF"/>
    <w:rsid w:val="00AC2163"/>
    <w:rsid w:val="00AC43BC"/>
    <w:rsid w:val="00AC456C"/>
    <w:rsid w:val="00AC490E"/>
    <w:rsid w:val="00AC56ED"/>
    <w:rsid w:val="00AC5924"/>
    <w:rsid w:val="00AC5D49"/>
    <w:rsid w:val="00AC6837"/>
    <w:rsid w:val="00AC6B76"/>
    <w:rsid w:val="00AC7B37"/>
    <w:rsid w:val="00AD0535"/>
    <w:rsid w:val="00AD0C82"/>
    <w:rsid w:val="00AD1E31"/>
    <w:rsid w:val="00AD2733"/>
    <w:rsid w:val="00AD2C94"/>
    <w:rsid w:val="00AD33F0"/>
    <w:rsid w:val="00AD3B5B"/>
    <w:rsid w:val="00AD3D25"/>
    <w:rsid w:val="00AD3ECD"/>
    <w:rsid w:val="00AD4690"/>
    <w:rsid w:val="00AD57A1"/>
    <w:rsid w:val="00AD6559"/>
    <w:rsid w:val="00AD6FE0"/>
    <w:rsid w:val="00AE02EC"/>
    <w:rsid w:val="00AE0D85"/>
    <w:rsid w:val="00AE1593"/>
    <w:rsid w:val="00AE1A37"/>
    <w:rsid w:val="00AE1AFB"/>
    <w:rsid w:val="00AE2872"/>
    <w:rsid w:val="00AE2E14"/>
    <w:rsid w:val="00AE3922"/>
    <w:rsid w:val="00AE47DB"/>
    <w:rsid w:val="00AE47E0"/>
    <w:rsid w:val="00AE5F2A"/>
    <w:rsid w:val="00AE61D7"/>
    <w:rsid w:val="00AE69E8"/>
    <w:rsid w:val="00AF01B1"/>
    <w:rsid w:val="00AF0218"/>
    <w:rsid w:val="00AF1953"/>
    <w:rsid w:val="00AF203D"/>
    <w:rsid w:val="00AF20D6"/>
    <w:rsid w:val="00AF21A3"/>
    <w:rsid w:val="00AF2339"/>
    <w:rsid w:val="00AF2E68"/>
    <w:rsid w:val="00AF2FB3"/>
    <w:rsid w:val="00AF4117"/>
    <w:rsid w:val="00AF4642"/>
    <w:rsid w:val="00AF547B"/>
    <w:rsid w:val="00AF5833"/>
    <w:rsid w:val="00AF5F22"/>
    <w:rsid w:val="00AF625F"/>
    <w:rsid w:val="00AF6D37"/>
    <w:rsid w:val="00AF7169"/>
    <w:rsid w:val="00B013E9"/>
    <w:rsid w:val="00B0165A"/>
    <w:rsid w:val="00B016FF"/>
    <w:rsid w:val="00B0192E"/>
    <w:rsid w:val="00B062AC"/>
    <w:rsid w:val="00B067B0"/>
    <w:rsid w:val="00B07ED5"/>
    <w:rsid w:val="00B11182"/>
    <w:rsid w:val="00B1126C"/>
    <w:rsid w:val="00B122B8"/>
    <w:rsid w:val="00B12C9E"/>
    <w:rsid w:val="00B135D4"/>
    <w:rsid w:val="00B146BC"/>
    <w:rsid w:val="00B14B55"/>
    <w:rsid w:val="00B14D43"/>
    <w:rsid w:val="00B16F0C"/>
    <w:rsid w:val="00B20B57"/>
    <w:rsid w:val="00B21158"/>
    <w:rsid w:val="00B21C24"/>
    <w:rsid w:val="00B21F00"/>
    <w:rsid w:val="00B22558"/>
    <w:rsid w:val="00B226DA"/>
    <w:rsid w:val="00B228DC"/>
    <w:rsid w:val="00B22C3F"/>
    <w:rsid w:val="00B243EC"/>
    <w:rsid w:val="00B2494D"/>
    <w:rsid w:val="00B2565E"/>
    <w:rsid w:val="00B26785"/>
    <w:rsid w:val="00B26C85"/>
    <w:rsid w:val="00B26DE6"/>
    <w:rsid w:val="00B3043E"/>
    <w:rsid w:val="00B30BF0"/>
    <w:rsid w:val="00B31DF8"/>
    <w:rsid w:val="00B3368E"/>
    <w:rsid w:val="00B33A30"/>
    <w:rsid w:val="00B33D92"/>
    <w:rsid w:val="00B34E1D"/>
    <w:rsid w:val="00B37770"/>
    <w:rsid w:val="00B37836"/>
    <w:rsid w:val="00B41287"/>
    <w:rsid w:val="00B417B5"/>
    <w:rsid w:val="00B41EE8"/>
    <w:rsid w:val="00B41F0E"/>
    <w:rsid w:val="00B424A5"/>
    <w:rsid w:val="00B4269B"/>
    <w:rsid w:val="00B42E6E"/>
    <w:rsid w:val="00B43F7E"/>
    <w:rsid w:val="00B45050"/>
    <w:rsid w:val="00B45B59"/>
    <w:rsid w:val="00B47533"/>
    <w:rsid w:val="00B478D9"/>
    <w:rsid w:val="00B515BA"/>
    <w:rsid w:val="00B51E7F"/>
    <w:rsid w:val="00B51EDB"/>
    <w:rsid w:val="00B529A5"/>
    <w:rsid w:val="00B529C7"/>
    <w:rsid w:val="00B52CA7"/>
    <w:rsid w:val="00B52D5E"/>
    <w:rsid w:val="00B53854"/>
    <w:rsid w:val="00B54403"/>
    <w:rsid w:val="00B5483F"/>
    <w:rsid w:val="00B54A59"/>
    <w:rsid w:val="00B55880"/>
    <w:rsid w:val="00B57C2F"/>
    <w:rsid w:val="00B614BC"/>
    <w:rsid w:val="00B61E81"/>
    <w:rsid w:val="00B62F05"/>
    <w:rsid w:val="00B64D01"/>
    <w:rsid w:val="00B65D03"/>
    <w:rsid w:val="00B669B3"/>
    <w:rsid w:val="00B6753F"/>
    <w:rsid w:val="00B675C6"/>
    <w:rsid w:val="00B67938"/>
    <w:rsid w:val="00B67BB0"/>
    <w:rsid w:val="00B67D8E"/>
    <w:rsid w:val="00B67DD0"/>
    <w:rsid w:val="00B70A2F"/>
    <w:rsid w:val="00B7179D"/>
    <w:rsid w:val="00B72702"/>
    <w:rsid w:val="00B72943"/>
    <w:rsid w:val="00B72DC1"/>
    <w:rsid w:val="00B741A8"/>
    <w:rsid w:val="00B741DE"/>
    <w:rsid w:val="00B749DD"/>
    <w:rsid w:val="00B74C34"/>
    <w:rsid w:val="00B76367"/>
    <w:rsid w:val="00B805E6"/>
    <w:rsid w:val="00B80971"/>
    <w:rsid w:val="00B81059"/>
    <w:rsid w:val="00B82590"/>
    <w:rsid w:val="00B83570"/>
    <w:rsid w:val="00B83C20"/>
    <w:rsid w:val="00B83CAF"/>
    <w:rsid w:val="00B83D42"/>
    <w:rsid w:val="00B84397"/>
    <w:rsid w:val="00B84A8C"/>
    <w:rsid w:val="00B85997"/>
    <w:rsid w:val="00B877DC"/>
    <w:rsid w:val="00B91168"/>
    <w:rsid w:val="00B93152"/>
    <w:rsid w:val="00B9473A"/>
    <w:rsid w:val="00B94770"/>
    <w:rsid w:val="00B94A41"/>
    <w:rsid w:val="00B95734"/>
    <w:rsid w:val="00B96210"/>
    <w:rsid w:val="00B96A72"/>
    <w:rsid w:val="00B97A3C"/>
    <w:rsid w:val="00B97AF4"/>
    <w:rsid w:val="00BA1092"/>
    <w:rsid w:val="00BA115E"/>
    <w:rsid w:val="00BA1372"/>
    <w:rsid w:val="00BA13A0"/>
    <w:rsid w:val="00BA17C3"/>
    <w:rsid w:val="00BA200A"/>
    <w:rsid w:val="00BA21A5"/>
    <w:rsid w:val="00BA2869"/>
    <w:rsid w:val="00BA2B9B"/>
    <w:rsid w:val="00BA3066"/>
    <w:rsid w:val="00BA319E"/>
    <w:rsid w:val="00BA3561"/>
    <w:rsid w:val="00BA4219"/>
    <w:rsid w:val="00BA56BC"/>
    <w:rsid w:val="00BA57B7"/>
    <w:rsid w:val="00BA57D7"/>
    <w:rsid w:val="00BA582B"/>
    <w:rsid w:val="00BA603B"/>
    <w:rsid w:val="00BA66A8"/>
    <w:rsid w:val="00BA6B3A"/>
    <w:rsid w:val="00BA7362"/>
    <w:rsid w:val="00BA7AD6"/>
    <w:rsid w:val="00BB022A"/>
    <w:rsid w:val="00BB0B86"/>
    <w:rsid w:val="00BB0E14"/>
    <w:rsid w:val="00BB132F"/>
    <w:rsid w:val="00BB3236"/>
    <w:rsid w:val="00BB3C38"/>
    <w:rsid w:val="00BB3F0D"/>
    <w:rsid w:val="00BB4008"/>
    <w:rsid w:val="00BB41E1"/>
    <w:rsid w:val="00BB5249"/>
    <w:rsid w:val="00BB52D6"/>
    <w:rsid w:val="00BB58FA"/>
    <w:rsid w:val="00BB6A76"/>
    <w:rsid w:val="00BC0737"/>
    <w:rsid w:val="00BC108E"/>
    <w:rsid w:val="00BC1807"/>
    <w:rsid w:val="00BC1D90"/>
    <w:rsid w:val="00BC2137"/>
    <w:rsid w:val="00BC2C97"/>
    <w:rsid w:val="00BC2F91"/>
    <w:rsid w:val="00BC3344"/>
    <w:rsid w:val="00BC4024"/>
    <w:rsid w:val="00BC4447"/>
    <w:rsid w:val="00BC460E"/>
    <w:rsid w:val="00BC557C"/>
    <w:rsid w:val="00BC5B74"/>
    <w:rsid w:val="00BC6B01"/>
    <w:rsid w:val="00BC7012"/>
    <w:rsid w:val="00BC7695"/>
    <w:rsid w:val="00BC7ABE"/>
    <w:rsid w:val="00BD060C"/>
    <w:rsid w:val="00BD08BD"/>
    <w:rsid w:val="00BD096A"/>
    <w:rsid w:val="00BD1BDC"/>
    <w:rsid w:val="00BD2997"/>
    <w:rsid w:val="00BD2D2E"/>
    <w:rsid w:val="00BD3C48"/>
    <w:rsid w:val="00BD3D25"/>
    <w:rsid w:val="00BD56A9"/>
    <w:rsid w:val="00BD631E"/>
    <w:rsid w:val="00BD7E3D"/>
    <w:rsid w:val="00BE0B57"/>
    <w:rsid w:val="00BE19D6"/>
    <w:rsid w:val="00BE1B54"/>
    <w:rsid w:val="00BE21BA"/>
    <w:rsid w:val="00BE4579"/>
    <w:rsid w:val="00BE6F8D"/>
    <w:rsid w:val="00BE7329"/>
    <w:rsid w:val="00BE79B3"/>
    <w:rsid w:val="00BE79FA"/>
    <w:rsid w:val="00BE7EEB"/>
    <w:rsid w:val="00BF0054"/>
    <w:rsid w:val="00BF1220"/>
    <w:rsid w:val="00BF12F9"/>
    <w:rsid w:val="00BF3625"/>
    <w:rsid w:val="00BF39CB"/>
    <w:rsid w:val="00BF39F6"/>
    <w:rsid w:val="00BF42F7"/>
    <w:rsid w:val="00BF4766"/>
    <w:rsid w:val="00BF4C93"/>
    <w:rsid w:val="00BF5531"/>
    <w:rsid w:val="00BF5A50"/>
    <w:rsid w:val="00BF5D6C"/>
    <w:rsid w:val="00BF7820"/>
    <w:rsid w:val="00C005FA"/>
    <w:rsid w:val="00C01D05"/>
    <w:rsid w:val="00C01D54"/>
    <w:rsid w:val="00C01D88"/>
    <w:rsid w:val="00C0254B"/>
    <w:rsid w:val="00C032C0"/>
    <w:rsid w:val="00C043D9"/>
    <w:rsid w:val="00C05ADF"/>
    <w:rsid w:val="00C075E8"/>
    <w:rsid w:val="00C07E82"/>
    <w:rsid w:val="00C109F6"/>
    <w:rsid w:val="00C10DF3"/>
    <w:rsid w:val="00C11878"/>
    <w:rsid w:val="00C12192"/>
    <w:rsid w:val="00C142FE"/>
    <w:rsid w:val="00C14516"/>
    <w:rsid w:val="00C1577A"/>
    <w:rsid w:val="00C1625A"/>
    <w:rsid w:val="00C16DA2"/>
    <w:rsid w:val="00C17E81"/>
    <w:rsid w:val="00C224B0"/>
    <w:rsid w:val="00C2389D"/>
    <w:rsid w:val="00C24130"/>
    <w:rsid w:val="00C24723"/>
    <w:rsid w:val="00C24F6C"/>
    <w:rsid w:val="00C250BB"/>
    <w:rsid w:val="00C25BC2"/>
    <w:rsid w:val="00C264A2"/>
    <w:rsid w:val="00C266DF"/>
    <w:rsid w:val="00C26C16"/>
    <w:rsid w:val="00C26D51"/>
    <w:rsid w:val="00C26FB9"/>
    <w:rsid w:val="00C3200B"/>
    <w:rsid w:val="00C32B1B"/>
    <w:rsid w:val="00C34B08"/>
    <w:rsid w:val="00C35309"/>
    <w:rsid w:val="00C35982"/>
    <w:rsid w:val="00C35F0E"/>
    <w:rsid w:val="00C36172"/>
    <w:rsid w:val="00C366E6"/>
    <w:rsid w:val="00C3678B"/>
    <w:rsid w:val="00C37180"/>
    <w:rsid w:val="00C3798F"/>
    <w:rsid w:val="00C40822"/>
    <w:rsid w:val="00C42486"/>
    <w:rsid w:val="00C43E6E"/>
    <w:rsid w:val="00C44F81"/>
    <w:rsid w:val="00C45E85"/>
    <w:rsid w:val="00C463CE"/>
    <w:rsid w:val="00C4667A"/>
    <w:rsid w:val="00C467C9"/>
    <w:rsid w:val="00C500CC"/>
    <w:rsid w:val="00C50571"/>
    <w:rsid w:val="00C50771"/>
    <w:rsid w:val="00C508C0"/>
    <w:rsid w:val="00C51BFE"/>
    <w:rsid w:val="00C51FB7"/>
    <w:rsid w:val="00C52101"/>
    <w:rsid w:val="00C523F0"/>
    <w:rsid w:val="00C5273A"/>
    <w:rsid w:val="00C5730B"/>
    <w:rsid w:val="00C578EE"/>
    <w:rsid w:val="00C600BA"/>
    <w:rsid w:val="00C605F6"/>
    <w:rsid w:val="00C606DC"/>
    <w:rsid w:val="00C60A06"/>
    <w:rsid w:val="00C614DC"/>
    <w:rsid w:val="00C61658"/>
    <w:rsid w:val="00C62CDC"/>
    <w:rsid w:val="00C6318E"/>
    <w:rsid w:val="00C63229"/>
    <w:rsid w:val="00C63B08"/>
    <w:rsid w:val="00C6424C"/>
    <w:rsid w:val="00C64EFA"/>
    <w:rsid w:val="00C664E7"/>
    <w:rsid w:val="00C67117"/>
    <w:rsid w:val="00C671D1"/>
    <w:rsid w:val="00C70328"/>
    <w:rsid w:val="00C70791"/>
    <w:rsid w:val="00C716DE"/>
    <w:rsid w:val="00C7300B"/>
    <w:rsid w:val="00C73528"/>
    <w:rsid w:val="00C736EA"/>
    <w:rsid w:val="00C73921"/>
    <w:rsid w:val="00C73A2E"/>
    <w:rsid w:val="00C73AA7"/>
    <w:rsid w:val="00C7491E"/>
    <w:rsid w:val="00C7641D"/>
    <w:rsid w:val="00C76F88"/>
    <w:rsid w:val="00C77108"/>
    <w:rsid w:val="00C777B6"/>
    <w:rsid w:val="00C8017A"/>
    <w:rsid w:val="00C80240"/>
    <w:rsid w:val="00C80255"/>
    <w:rsid w:val="00C82174"/>
    <w:rsid w:val="00C8269B"/>
    <w:rsid w:val="00C82727"/>
    <w:rsid w:val="00C82AA1"/>
    <w:rsid w:val="00C83138"/>
    <w:rsid w:val="00C833F0"/>
    <w:rsid w:val="00C8385C"/>
    <w:rsid w:val="00C84112"/>
    <w:rsid w:val="00C8556B"/>
    <w:rsid w:val="00C85E93"/>
    <w:rsid w:val="00C86974"/>
    <w:rsid w:val="00C869C1"/>
    <w:rsid w:val="00C87A95"/>
    <w:rsid w:val="00C90B1E"/>
    <w:rsid w:val="00C90BB5"/>
    <w:rsid w:val="00C9110D"/>
    <w:rsid w:val="00C918C8"/>
    <w:rsid w:val="00C922FF"/>
    <w:rsid w:val="00C930C2"/>
    <w:rsid w:val="00C934C5"/>
    <w:rsid w:val="00C93FF7"/>
    <w:rsid w:val="00C953C1"/>
    <w:rsid w:val="00C9610F"/>
    <w:rsid w:val="00C966B9"/>
    <w:rsid w:val="00C974E6"/>
    <w:rsid w:val="00C97B87"/>
    <w:rsid w:val="00C97C25"/>
    <w:rsid w:val="00CA05E0"/>
    <w:rsid w:val="00CA121D"/>
    <w:rsid w:val="00CA2418"/>
    <w:rsid w:val="00CA245E"/>
    <w:rsid w:val="00CA2A18"/>
    <w:rsid w:val="00CA3754"/>
    <w:rsid w:val="00CA3AA7"/>
    <w:rsid w:val="00CA485F"/>
    <w:rsid w:val="00CA48BF"/>
    <w:rsid w:val="00CA4D92"/>
    <w:rsid w:val="00CA5614"/>
    <w:rsid w:val="00CA5712"/>
    <w:rsid w:val="00CA5FBF"/>
    <w:rsid w:val="00CA67FC"/>
    <w:rsid w:val="00CA6FB4"/>
    <w:rsid w:val="00CA70D1"/>
    <w:rsid w:val="00CB0769"/>
    <w:rsid w:val="00CB1C15"/>
    <w:rsid w:val="00CB1C6D"/>
    <w:rsid w:val="00CB1E8B"/>
    <w:rsid w:val="00CB24EB"/>
    <w:rsid w:val="00CB2659"/>
    <w:rsid w:val="00CB28DC"/>
    <w:rsid w:val="00CB2A1A"/>
    <w:rsid w:val="00CB4406"/>
    <w:rsid w:val="00CB4C8A"/>
    <w:rsid w:val="00CB6956"/>
    <w:rsid w:val="00CB6C28"/>
    <w:rsid w:val="00CB7E2A"/>
    <w:rsid w:val="00CC01E6"/>
    <w:rsid w:val="00CC031E"/>
    <w:rsid w:val="00CC0EAD"/>
    <w:rsid w:val="00CC2290"/>
    <w:rsid w:val="00CC2367"/>
    <w:rsid w:val="00CC31AA"/>
    <w:rsid w:val="00CC3377"/>
    <w:rsid w:val="00CC3788"/>
    <w:rsid w:val="00CC531E"/>
    <w:rsid w:val="00CC696D"/>
    <w:rsid w:val="00CC7674"/>
    <w:rsid w:val="00CC7920"/>
    <w:rsid w:val="00CC7A89"/>
    <w:rsid w:val="00CC7B19"/>
    <w:rsid w:val="00CD068C"/>
    <w:rsid w:val="00CD0862"/>
    <w:rsid w:val="00CD10A9"/>
    <w:rsid w:val="00CD224E"/>
    <w:rsid w:val="00CD2BA9"/>
    <w:rsid w:val="00CD3121"/>
    <w:rsid w:val="00CD3945"/>
    <w:rsid w:val="00CD3C8F"/>
    <w:rsid w:val="00CD3D1B"/>
    <w:rsid w:val="00CD421A"/>
    <w:rsid w:val="00CD4674"/>
    <w:rsid w:val="00CD46FA"/>
    <w:rsid w:val="00CD5447"/>
    <w:rsid w:val="00CD6835"/>
    <w:rsid w:val="00CD6B94"/>
    <w:rsid w:val="00CD6CC2"/>
    <w:rsid w:val="00CD6D76"/>
    <w:rsid w:val="00CD6E4A"/>
    <w:rsid w:val="00CD7C50"/>
    <w:rsid w:val="00CE1746"/>
    <w:rsid w:val="00CE17C4"/>
    <w:rsid w:val="00CE1932"/>
    <w:rsid w:val="00CE1B35"/>
    <w:rsid w:val="00CE1C87"/>
    <w:rsid w:val="00CE3413"/>
    <w:rsid w:val="00CE3683"/>
    <w:rsid w:val="00CE3EAA"/>
    <w:rsid w:val="00CE5362"/>
    <w:rsid w:val="00CE5FEF"/>
    <w:rsid w:val="00CE62F8"/>
    <w:rsid w:val="00CE68A3"/>
    <w:rsid w:val="00CE6DE2"/>
    <w:rsid w:val="00CE6E0E"/>
    <w:rsid w:val="00CE7C33"/>
    <w:rsid w:val="00CF0825"/>
    <w:rsid w:val="00CF132E"/>
    <w:rsid w:val="00CF16B7"/>
    <w:rsid w:val="00CF1864"/>
    <w:rsid w:val="00CF1B20"/>
    <w:rsid w:val="00CF260F"/>
    <w:rsid w:val="00CF418C"/>
    <w:rsid w:val="00CF4196"/>
    <w:rsid w:val="00CF4AFB"/>
    <w:rsid w:val="00CF4FEC"/>
    <w:rsid w:val="00CF6279"/>
    <w:rsid w:val="00CF6782"/>
    <w:rsid w:val="00D02EB6"/>
    <w:rsid w:val="00D03816"/>
    <w:rsid w:val="00D03A59"/>
    <w:rsid w:val="00D04395"/>
    <w:rsid w:val="00D04697"/>
    <w:rsid w:val="00D047EA"/>
    <w:rsid w:val="00D04940"/>
    <w:rsid w:val="00D0508F"/>
    <w:rsid w:val="00D05307"/>
    <w:rsid w:val="00D10B21"/>
    <w:rsid w:val="00D110B2"/>
    <w:rsid w:val="00D1270C"/>
    <w:rsid w:val="00D134AD"/>
    <w:rsid w:val="00D150F4"/>
    <w:rsid w:val="00D16EA7"/>
    <w:rsid w:val="00D16ED3"/>
    <w:rsid w:val="00D1707C"/>
    <w:rsid w:val="00D17811"/>
    <w:rsid w:val="00D178B9"/>
    <w:rsid w:val="00D2092F"/>
    <w:rsid w:val="00D20977"/>
    <w:rsid w:val="00D21CEB"/>
    <w:rsid w:val="00D22876"/>
    <w:rsid w:val="00D22D25"/>
    <w:rsid w:val="00D24049"/>
    <w:rsid w:val="00D243CF"/>
    <w:rsid w:val="00D24C83"/>
    <w:rsid w:val="00D25478"/>
    <w:rsid w:val="00D2560D"/>
    <w:rsid w:val="00D265BB"/>
    <w:rsid w:val="00D2661F"/>
    <w:rsid w:val="00D2694E"/>
    <w:rsid w:val="00D26DA2"/>
    <w:rsid w:val="00D2720A"/>
    <w:rsid w:val="00D30C8E"/>
    <w:rsid w:val="00D3111C"/>
    <w:rsid w:val="00D31219"/>
    <w:rsid w:val="00D317B4"/>
    <w:rsid w:val="00D32D74"/>
    <w:rsid w:val="00D3379D"/>
    <w:rsid w:val="00D33FBE"/>
    <w:rsid w:val="00D3435A"/>
    <w:rsid w:val="00D34CCB"/>
    <w:rsid w:val="00D35001"/>
    <w:rsid w:val="00D350A9"/>
    <w:rsid w:val="00D35760"/>
    <w:rsid w:val="00D35A17"/>
    <w:rsid w:val="00D35FD2"/>
    <w:rsid w:val="00D3620B"/>
    <w:rsid w:val="00D364C3"/>
    <w:rsid w:val="00D3687E"/>
    <w:rsid w:val="00D36CF8"/>
    <w:rsid w:val="00D36D4B"/>
    <w:rsid w:val="00D378D5"/>
    <w:rsid w:val="00D40937"/>
    <w:rsid w:val="00D40ACD"/>
    <w:rsid w:val="00D40BF4"/>
    <w:rsid w:val="00D40E9F"/>
    <w:rsid w:val="00D425E2"/>
    <w:rsid w:val="00D43144"/>
    <w:rsid w:val="00D43E6F"/>
    <w:rsid w:val="00D4522A"/>
    <w:rsid w:val="00D46888"/>
    <w:rsid w:val="00D5051F"/>
    <w:rsid w:val="00D50CC8"/>
    <w:rsid w:val="00D50CDD"/>
    <w:rsid w:val="00D51232"/>
    <w:rsid w:val="00D515E1"/>
    <w:rsid w:val="00D51729"/>
    <w:rsid w:val="00D5203B"/>
    <w:rsid w:val="00D52178"/>
    <w:rsid w:val="00D524FE"/>
    <w:rsid w:val="00D52949"/>
    <w:rsid w:val="00D52E7D"/>
    <w:rsid w:val="00D53262"/>
    <w:rsid w:val="00D56242"/>
    <w:rsid w:val="00D569EF"/>
    <w:rsid w:val="00D56E51"/>
    <w:rsid w:val="00D56EA8"/>
    <w:rsid w:val="00D56FD2"/>
    <w:rsid w:val="00D6140D"/>
    <w:rsid w:val="00D6182C"/>
    <w:rsid w:val="00D61E1C"/>
    <w:rsid w:val="00D61F9E"/>
    <w:rsid w:val="00D637D0"/>
    <w:rsid w:val="00D6390F"/>
    <w:rsid w:val="00D63A48"/>
    <w:rsid w:val="00D64F51"/>
    <w:rsid w:val="00D65C34"/>
    <w:rsid w:val="00D66CDF"/>
    <w:rsid w:val="00D66F94"/>
    <w:rsid w:val="00D672C0"/>
    <w:rsid w:val="00D6752C"/>
    <w:rsid w:val="00D70767"/>
    <w:rsid w:val="00D70E75"/>
    <w:rsid w:val="00D7150C"/>
    <w:rsid w:val="00D71828"/>
    <w:rsid w:val="00D71C8B"/>
    <w:rsid w:val="00D72E00"/>
    <w:rsid w:val="00D72F6B"/>
    <w:rsid w:val="00D733E5"/>
    <w:rsid w:val="00D742E9"/>
    <w:rsid w:val="00D74ED3"/>
    <w:rsid w:val="00D75AEB"/>
    <w:rsid w:val="00D75C26"/>
    <w:rsid w:val="00D760CD"/>
    <w:rsid w:val="00D761B5"/>
    <w:rsid w:val="00D763F9"/>
    <w:rsid w:val="00D764E9"/>
    <w:rsid w:val="00D76BE6"/>
    <w:rsid w:val="00D76DCD"/>
    <w:rsid w:val="00D7714C"/>
    <w:rsid w:val="00D817D0"/>
    <w:rsid w:val="00D81B84"/>
    <w:rsid w:val="00D8226D"/>
    <w:rsid w:val="00D8257B"/>
    <w:rsid w:val="00D82B41"/>
    <w:rsid w:val="00D83D87"/>
    <w:rsid w:val="00D84E2D"/>
    <w:rsid w:val="00D8527F"/>
    <w:rsid w:val="00D852BB"/>
    <w:rsid w:val="00D873E6"/>
    <w:rsid w:val="00D8745A"/>
    <w:rsid w:val="00D877E4"/>
    <w:rsid w:val="00D87A2E"/>
    <w:rsid w:val="00D87FD2"/>
    <w:rsid w:val="00D901E6"/>
    <w:rsid w:val="00D911B9"/>
    <w:rsid w:val="00D92B68"/>
    <w:rsid w:val="00D93060"/>
    <w:rsid w:val="00D94D95"/>
    <w:rsid w:val="00D94DF3"/>
    <w:rsid w:val="00D9522E"/>
    <w:rsid w:val="00D9544C"/>
    <w:rsid w:val="00D95C72"/>
    <w:rsid w:val="00D96941"/>
    <w:rsid w:val="00DA066B"/>
    <w:rsid w:val="00DA1752"/>
    <w:rsid w:val="00DA3293"/>
    <w:rsid w:val="00DA43FB"/>
    <w:rsid w:val="00DA48AB"/>
    <w:rsid w:val="00DA6293"/>
    <w:rsid w:val="00DA6EFD"/>
    <w:rsid w:val="00DB0483"/>
    <w:rsid w:val="00DB06DF"/>
    <w:rsid w:val="00DB26B5"/>
    <w:rsid w:val="00DB2934"/>
    <w:rsid w:val="00DB29F7"/>
    <w:rsid w:val="00DB319C"/>
    <w:rsid w:val="00DB40E1"/>
    <w:rsid w:val="00DB4E0F"/>
    <w:rsid w:val="00DB509B"/>
    <w:rsid w:val="00DB56A8"/>
    <w:rsid w:val="00DB638F"/>
    <w:rsid w:val="00DB6951"/>
    <w:rsid w:val="00DB77F3"/>
    <w:rsid w:val="00DB788C"/>
    <w:rsid w:val="00DB7C2D"/>
    <w:rsid w:val="00DB7C6F"/>
    <w:rsid w:val="00DC0069"/>
    <w:rsid w:val="00DC0791"/>
    <w:rsid w:val="00DC2BF7"/>
    <w:rsid w:val="00DC40C8"/>
    <w:rsid w:val="00DC4D6F"/>
    <w:rsid w:val="00DC55F3"/>
    <w:rsid w:val="00DC68E7"/>
    <w:rsid w:val="00DC6E1E"/>
    <w:rsid w:val="00DC6E2A"/>
    <w:rsid w:val="00DC7016"/>
    <w:rsid w:val="00DD096D"/>
    <w:rsid w:val="00DD0A66"/>
    <w:rsid w:val="00DD0FB1"/>
    <w:rsid w:val="00DD1805"/>
    <w:rsid w:val="00DD24F0"/>
    <w:rsid w:val="00DD37D9"/>
    <w:rsid w:val="00DD3C26"/>
    <w:rsid w:val="00DD41E3"/>
    <w:rsid w:val="00DD5B46"/>
    <w:rsid w:val="00DD5C6A"/>
    <w:rsid w:val="00DD5FB8"/>
    <w:rsid w:val="00DD62C2"/>
    <w:rsid w:val="00DD6B00"/>
    <w:rsid w:val="00DE0BAB"/>
    <w:rsid w:val="00DE1749"/>
    <w:rsid w:val="00DE268A"/>
    <w:rsid w:val="00DE2CE9"/>
    <w:rsid w:val="00DE31C6"/>
    <w:rsid w:val="00DE35B3"/>
    <w:rsid w:val="00DE4BE9"/>
    <w:rsid w:val="00DE5601"/>
    <w:rsid w:val="00DE5AF9"/>
    <w:rsid w:val="00DE5C10"/>
    <w:rsid w:val="00DE5D58"/>
    <w:rsid w:val="00DE62B0"/>
    <w:rsid w:val="00DE634A"/>
    <w:rsid w:val="00DE679D"/>
    <w:rsid w:val="00DE7299"/>
    <w:rsid w:val="00DE742D"/>
    <w:rsid w:val="00DE7AEA"/>
    <w:rsid w:val="00DF07DB"/>
    <w:rsid w:val="00DF1289"/>
    <w:rsid w:val="00DF13E4"/>
    <w:rsid w:val="00DF1A77"/>
    <w:rsid w:val="00DF3224"/>
    <w:rsid w:val="00DF4003"/>
    <w:rsid w:val="00DF6CF1"/>
    <w:rsid w:val="00DF7B2E"/>
    <w:rsid w:val="00E0068F"/>
    <w:rsid w:val="00E006DF"/>
    <w:rsid w:val="00E009D2"/>
    <w:rsid w:val="00E0223D"/>
    <w:rsid w:val="00E04C13"/>
    <w:rsid w:val="00E04C16"/>
    <w:rsid w:val="00E06395"/>
    <w:rsid w:val="00E07458"/>
    <w:rsid w:val="00E077AA"/>
    <w:rsid w:val="00E07A2F"/>
    <w:rsid w:val="00E10513"/>
    <w:rsid w:val="00E10B54"/>
    <w:rsid w:val="00E11986"/>
    <w:rsid w:val="00E119FC"/>
    <w:rsid w:val="00E124EA"/>
    <w:rsid w:val="00E12911"/>
    <w:rsid w:val="00E13696"/>
    <w:rsid w:val="00E1673B"/>
    <w:rsid w:val="00E1678A"/>
    <w:rsid w:val="00E172F1"/>
    <w:rsid w:val="00E173B8"/>
    <w:rsid w:val="00E17648"/>
    <w:rsid w:val="00E20180"/>
    <w:rsid w:val="00E2032D"/>
    <w:rsid w:val="00E2111E"/>
    <w:rsid w:val="00E22207"/>
    <w:rsid w:val="00E22A90"/>
    <w:rsid w:val="00E230BA"/>
    <w:rsid w:val="00E23614"/>
    <w:rsid w:val="00E237EE"/>
    <w:rsid w:val="00E23AC7"/>
    <w:rsid w:val="00E24037"/>
    <w:rsid w:val="00E253D7"/>
    <w:rsid w:val="00E25641"/>
    <w:rsid w:val="00E25A03"/>
    <w:rsid w:val="00E26BBE"/>
    <w:rsid w:val="00E2705F"/>
    <w:rsid w:val="00E270B2"/>
    <w:rsid w:val="00E27A37"/>
    <w:rsid w:val="00E30021"/>
    <w:rsid w:val="00E3033F"/>
    <w:rsid w:val="00E30493"/>
    <w:rsid w:val="00E31057"/>
    <w:rsid w:val="00E31849"/>
    <w:rsid w:val="00E3194D"/>
    <w:rsid w:val="00E31C2E"/>
    <w:rsid w:val="00E321E4"/>
    <w:rsid w:val="00E32A88"/>
    <w:rsid w:val="00E32D4F"/>
    <w:rsid w:val="00E33432"/>
    <w:rsid w:val="00E3521B"/>
    <w:rsid w:val="00E36110"/>
    <w:rsid w:val="00E37537"/>
    <w:rsid w:val="00E375ED"/>
    <w:rsid w:val="00E4128B"/>
    <w:rsid w:val="00E414D5"/>
    <w:rsid w:val="00E418D7"/>
    <w:rsid w:val="00E41B02"/>
    <w:rsid w:val="00E42C8E"/>
    <w:rsid w:val="00E42F97"/>
    <w:rsid w:val="00E44B3A"/>
    <w:rsid w:val="00E44D8F"/>
    <w:rsid w:val="00E44FE8"/>
    <w:rsid w:val="00E450C8"/>
    <w:rsid w:val="00E45437"/>
    <w:rsid w:val="00E47B9D"/>
    <w:rsid w:val="00E50192"/>
    <w:rsid w:val="00E50954"/>
    <w:rsid w:val="00E50EDE"/>
    <w:rsid w:val="00E514C6"/>
    <w:rsid w:val="00E52758"/>
    <w:rsid w:val="00E52AAD"/>
    <w:rsid w:val="00E53483"/>
    <w:rsid w:val="00E5351C"/>
    <w:rsid w:val="00E54BD5"/>
    <w:rsid w:val="00E554EB"/>
    <w:rsid w:val="00E56DD0"/>
    <w:rsid w:val="00E57755"/>
    <w:rsid w:val="00E60A18"/>
    <w:rsid w:val="00E60BB8"/>
    <w:rsid w:val="00E60F9E"/>
    <w:rsid w:val="00E622E8"/>
    <w:rsid w:val="00E650C7"/>
    <w:rsid w:val="00E66352"/>
    <w:rsid w:val="00E674C5"/>
    <w:rsid w:val="00E675C8"/>
    <w:rsid w:val="00E67CCB"/>
    <w:rsid w:val="00E67D64"/>
    <w:rsid w:val="00E706CA"/>
    <w:rsid w:val="00E7095D"/>
    <w:rsid w:val="00E71463"/>
    <w:rsid w:val="00E719CB"/>
    <w:rsid w:val="00E7225B"/>
    <w:rsid w:val="00E73BFD"/>
    <w:rsid w:val="00E740F1"/>
    <w:rsid w:val="00E7544F"/>
    <w:rsid w:val="00E75E4A"/>
    <w:rsid w:val="00E773F9"/>
    <w:rsid w:val="00E77C32"/>
    <w:rsid w:val="00E810DA"/>
    <w:rsid w:val="00E812BB"/>
    <w:rsid w:val="00E813DC"/>
    <w:rsid w:val="00E821DF"/>
    <w:rsid w:val="00E82D84"/>
    <w:rsid w:val="00E861B5"/>
    <w:rsid w:val="00E86329"/>
    <w:rsid w:val="00E86E30"/>
    <w:rsid w:val="00E86EE5"/>
    <w:rsid w:val="00E87623"/>
    <w:rsid w:val="00E87F52"/>
    <w:rsid w:val="00E907EE"/>
    <w:rsid w:val="00E91212"/>
    <w:rsid w:val="00E91FA1"/>
    <w:rsid w:val="00E923D5"/>
    <w:rsid w:val="00E9285E"/>
    <w:rsid w:val="00E929FA"/>
    <w:rsid w:val="00E92BDC"/>
    <w:rsid w:val="00E92E46"/>
    <w:rsid w:val="00E94AEF"/>
    <w:rsid w:val="00E97E64"/>
    <w:rsid w:val="00EA01E2"/>
    <w:rsid w:val="00EA1802"/>
    <w:rsid w:val="00EA29D6"/>
    <w:rsid w:val="00EA312D"/>
    <w:rsid w:val="00EA3B57"/>
    <w:rsid w:val="00EA477B"/>
    <w:rsid w:val="00EA4B48"/>
    <w:rsid w:val="00EA5B4B"/>
    <w:rsid w:val="00EA6851"/>
    <w:rsid w:val="00EA6CBC"/>
    <w:rsid w:val="00EA6CED"/>
    <w:rsid w:val="00EA78A9"/>
    <w:rsid w:val="00EA7DD3"/>
    <w:rsid w:val="00EB08D2"/>
    <w:rsid w:val="00EB146C"/>
    <w:rsid w:val="00EB1510"/>
    <w:rsid w:val="00EB154C"/>
    <w:rsid w:val="00EB17C5"/>
    <w:rsid w:val="00EB254C"/>
    <w:rsid w:val="00EB5680"/>
    <w:rsid w:val="00EB6D91"/>
    <w:rsid w:val="00EB6E8A"/>
    <w:rsid w:val="00EB70ED"/>
    <w:rsid w:val="00EB7839"/>
    <w:rsid w:val="00EC0616"/>
    <w:rsid w:val="00EC0EAE"/>
    <w:rsid w:val="00EC1DFF"/>
    <w:rsid w:val="00EC1F91"/>
    <w:rsid w:val="00EC2068"/>
    <w:rsid w:val="00EC259F"/>
    <w:rsid w:val="00EC3DCC"/>
    <w:rsid w:val="00EC3E84"/>
    <w:rsid w:val="00EC3EF0"/>
    <w:rsid w:val="00EC4ABC"/>
    <w:rsid w:val="00EC4B46"/>
    <w:rsid w:val="00EC50AB"/>
    <w:rsid w:val="00EC54C6"/>
    <w:rsid w:val="00EC5A46"/>
    <w:rsid w:val="00EC66CB"/>
    <w:rsid w:val="00EC68CF"/>
    <w:rsid w:val="00EC7518"/>
    <w:rsid w:val="00ED059B"/>
    <w:rsid w:val="00ED121C"/>
    <w:rsid w:val="00ED2DDB"/>
    <w:rsid w:val="00ED4CD0"/>
    <w:rsid w:val="00ED4CEE"/>
    <w:rsid w:val="00ED4E15"/>
    <w:rsid w:val="00ED5371"/>
    <w:rsid w:val="00ED67BD"/>
    <w:rsid w:val="00ED7205"/>
    <w:rsid w:val="00EE0250"/>
    <w:rsid w:val="00EE0D2A"/>
    <w:rsid w:val="00EE17AC"/>
    <w:rsid w:val="00EE187A"/>
    <w:rsid w:val="00EE20F1"/>
    <w:rsid w:val="00EE21E5"/>
    <w:rsid w:val="00EE3B0A"/>
    <w:rsid w:val="00EE3E9F"/>
    <w:rsid w:val="00EE446D"/>
    <w:rsid w:val="00EE4DF8"/>
    <w:rsid w:val="00EE5604"/>
    <w:rsid w:val="00EE6510"/>
    <w:rsid w:val="00EE7B3A"/>
    <w:rsid w:val="00EE7CFC"/>
    <w:rsid w:val="00EE7D45"/>
    <w:rsid w:val="00EF1298"/>
    <w:rsid w:val="00EF1E74"/>
    <w:rsid w:val="00EF2343"/>
    <w:rsid w:val="00EF2663"/>
    <w:rsid w:val="00EF2E27"/>
    <w:rsid w:val="00EF43F7"/>
    <w:rsid w:val="00EF4D0D"/>
    <w:rsid w:val="00EF5304"/>
    <w:rsid w:val="00EF54D3"/>
    <w:rsid w:val="00EF568C"/>
    <w:rsid w:val="00EF5966"/>
    <w:rsid w:val="00EF5E4B"/>
    <w:rsid w:val="00EF617C"/>
    <w:rsid w:val="00F012AD"/>
    <w:rsid w:val="00F01715"/>
    <w:rsid w:val="00F01991"/>
    <w:rsid w:val="00F01D0B"/>
    <w:rsid w:val="00F01DB7"/>
    <w:rsid w:val="00F0208B"/>
    <w:rsid w:val="00F022FC"/>
    <w:rsid w:val="00F02B07"/>
    <w:rsid w:val="00F03A3D"/>
    <w:rsid w:val="00F03B8F"/>
    <w:rsid w:val="00F04130"/>
    <w:rsid w:val="00F046EF"/>
    <w:rsid w:val="00F05970"/>
    <w:rsid w:val="00F06074"/>
    <w:rsid w:val="00F06143"/>
    <w:rsid w:val="00F062D0"/>
    <w:rsid w:val="00F07A7E"/>
    <w:rsid w:val="00F1012C"/>
    <w:rsid w:val="00F10146"/>
    <w:rsid w:val="00F110F9"/>
    <w:rsid w:val="00F117C3"/>
    <w:rsid w:val="00F11A1A"/>
    <w:rsid w:val="00F1268E"/>
    <w:rsid w:val="00F1311B"/>
    <w:rsid w:val="00F13403"/>
    <w:rsid w:val="00F135F5"/>
    <w:rsid w:val="00F13F48"/>
    <w:rsid w:val="00F140F6"/>
    <w:rsid w:val="00F1457E"/>
    <w:rsid w:val="00F149DB"/>
    <w:rsid w:val="00F15034"/>
    <w:rsid w:val="00F154A7"/>
    <w:rsid w:val="00F160DF"/>
    <w:rsid w:val="00F16390"/>
    <w:rsid w:val="00F1655F"/>
    <w:rsid w:val="00F16E4F"/>
    <w:rsid w:val="00F17A20"/>
    <w:rsid w:val="00F20D41"/>
    <w:rsid w:val="00F2108A"/>
    <w:rsid w:val="00F21961"/>
    <w:rsid w:val="00F2324F"/>
    <w:rsid w:val="00F24E2D"/>
    <w:rsid w:val="00F25B37"/>
    <w:rsid w:val="00F25FA0"/>
    <w:rsid w:val="00F26AF7"/>
    <w:rsid w:val="00F26B16"/>
    <w:rsid w:val="00F26F7F"/>
    <w:rsid w:val="00F2711E"/>
    <w:rsid w:val="00F2723D"/>
    <w:rsid w:val="00F27291"/>
    <w:rsid w:val="00F27B36"/>
    <w:rsid w:val="00F27BBE"/>
    <w:rsid w:val="00F27C61"/>
    <w:rsid w:val="00F27E9D"/>
    <w:rsid w:val="00F32F6C"/>
    <w:rsid w:val="00F3442C"/>
    <w:rsid w:val="00F35069"/>
    <w:rsid w:val="00F355C7"/>
    <w:rsid w:val="00F35874"/>
    <w:rsid w:val="00F365C4"/>
    <w:rsid w:val="00F37780"/>
    <w:rsid w:val="00F402C0"/>
    <w:rsid w:val="00F40D37"/>
    <w:rsid w:val="00F41DD2"/>
    <w:rsid w:val="00F4229F"/>
    <w:rsid w:val="00F42799"/>
    <w:rsid w:val="00F429E0"/>
    <w:rsid w:val="00F43E59"/>
    <w:rsid w:val="00F45B51"/>
    <w:rsid w:val="00F45C5B"/>
    <w:rsid w:val="00F4630C"/>
    <w:rsid w:val="00F464A1"/>
    <w:rsid w:val="00F46A6A"/>
    <w:rsid w:val="00F50450"/>
    <w:rsid w:val="00F5203D"/>
    <w:rsid w:val="00F539D3"/>
    <w:rsid w:val="00F53AA0"/>
    <w:rsid w:val="00F54FC8"/>
    <w:rsid w:val="00F550E8"/>
    <w:rsid w:val="00F55A2A"/>
    <w:rsid w:val="00F56306"/>
    <w:rsid w:val="00F563C5"/>
    <w:rsid w:val="00F57295"/>
    <w:rsid w:val="00F577E5"/>
    <w:rsid w:val="00F57BF9"/>
    <w:rsid w:val="00F57D20"/>
    <w:rsid w:val="00F6018D"/>
    <w:rsid w:val="00F613EE"/>
    <w:rsid w:val="00F616B8"/>
    <w:rsid w:val="00F63696"/>
    <w:rsid w:val="00F63805"/>
    <w:rsid w:val="00F63AE7"/>
    <w:rsid w:val="00F6433E"/>
    <w:rsid w:val="00F645B9"/>
    <w:rsid w:val="00F64E31"/>
    <w:rsid w:val="00F65F20"/>
    <w:rsid w:val="00F669F4"/>
    <w:rsid w:val="00F6733C"/>
    <w:rsid w:val="00F674AE"/>
    <w:rsid w:val="00F67764"/>
    <w:rsid w:val="00F703AE"/>
    <w:rsid w:val="00F71B7B"/>
    <w:rsid w:val="00F7245D"/>
    <w:rsid w:val="00F72922"/>
    <w:rsid w:val="00F72F72"/>
    <w:rsid w:val="00F73894"/>
    <w:rsid w:val="00F7447C"/>
    <w:rsid w:val="00F749C5"/>
    <w:rsid w:val="00F76404"/>
    <w:rsid w:val="00F77038"/>
    <w:rsid w:val="00F77393"/>
    <w:rsid w:val="00F773AA"/>
    <w:rsid w:val="00F8384A"/>
    <w:rsid w:val="00F8397D"/>
    <w:rsid w:val="00F844C4"/>
    <w:rsid w:val="00F849F8"/>
    <w:rsid w:val="00F86384"/>
    <w:rsid w:val="00F8675F"/>
    <w:rsid w:val="00F878DE"/>
    <w:rsid w:val="00F90179"/>
    <w:rsid w:val="00F902A1"/>
    <w:rsid w:val="00F906F8"/>
    <w:rsid w:val="00F91520"/>
    <w:rsid w:val="00F9197B"/>
    <w:rsid w:val="00F91D88"/>
    <w:rsid w:val="00F93A1F"/>
    <w:rsid w:val="00F94AF0"/>
    <w:rsid w:val="00F94E7A"/>
    <w:rsid w:val="00F95495"/>
    <w:rsid w:val="00FA0931"/>
    <w:rsid w:val="00FA1A6D"/>
    <w:rsid w:val="00FA1A91"/>
    <w:rsid w:val="00FA3299"/>
    <w:rsid w:val="00FA32AA"/>
    <w:rsid w:val="00FA412F"/>
    <w:rsid w:val="00FA4C27"/>
    <w:rsid w:val="00FA6210"/>
    <w:rsid w:val="00FA6A83"/>
    <w:rsid w:val="00FA7020"/>
    <w:rsid w:val="00FA73B5"/>
    <w:rsid w:val="00FA7614"/>
    <w:rsid w:val="00FB0DBD"/>
    <w:rsid w:val="00FB2F48"/>
    <w:rsid w:val="00FB30CA"/>
    <w:rsid w:val="00FB3151"/>
    <w:rsid w:val="00FB459D"/>
    <w:rsid w:val="00FB4BDD"/>
    <w:rsid w:val="00FB4F6C"/>
    <w:rsid w:val="00FB55C1"/>
    <w:rsid w:val="00FB5C3D"/>
    <w:rsid w:val="00FB6282"/>
    <w:rsid w:val="00FB7274"/>
    <w:rsid w:val="00FB75BF"/>
    <w:rsid w:val="00FB77FB"/>
    <w:rsid w:val="00FB7862"/>
    <w:rsid w:val="00FC11C6"/>
    <w:rsid w:val="00FC1652"/>
    <w:rsid w:val="00FC1BB2"/>
    <w:rsid w:val="00FC2448"/>
    <w:rsid w:val="00FC3708"/>
    <w:rsid w:val="00FC5922"/>
    <w:rsid w:val="00FC71F7"/>
    <w:rsid w:val="00FC7E05"/>
    <w:rsid w:val="00FD0A31"/>
    <w:rsid w:val="00FD0EBC"/>
    <w:rsid w:val="00FD1998"/>
    <w:rsid w:val="00FD1FC0"/>
    <w:rsid w:val="00FD2C42"/>
    <w:rsid w:val="00FD2CF0"/>
    <w:rsid w:val="00FD3270"/>
    <w:rsid w:val="00FD3396"/>
    <w:rsid w:val="00FD41FE"/>
    <w:rsid w:val="00FD4621"/>
    <w:rsid w:val="00FD4DDC"/>
    <w:rsid w:val="00FD5D4E"/>
    <w:rsid w:val="00FD6389"/>
    <w:rsid w:val="00FD7382"/>
    <w:rsid w:val="00FD7601"/>
    <w:rsid w:val="00FD765A"/>
    <w:rsid w:val="00FD7835"/>
    <w:rsid w:val="00FD7F9D"/>
    <w:rsid w:val="00FE04C1"/>
    <w:rsid w:val="00FE0616"/>
    <w:rsid w:val="00FE0B0D"/>
    <w:rsid w:val="00FE0E78"/>
    <w:rsid w:val="00FE13BD"/>
    <w:rsid w:val="00FE1EC6"/>
    <w:rsid w:val="00FE2564"/>
    <w:rsid w:val="00FE27AA"/>
    <w:rsid w:val="00FE2B39"/>
    <w:rsid w:val="00FE3289"/>
    <w:rsid w:val="00FE4358"/>
    <w:rsid w:val="00FE4394"/>
    <w:rsid w:val="00FE46DF"/>
    <w:rsid w:val="00FE4ADE"/>
    <w:rsid w:val="00FE51EF"/>
    <w:rsid w:val="00FE551B"/>
    <w:rsid w:val="00FE6151"/>
    <w:rsid w:val="00FE776F"/>
    <w:rsid w:val="00FF052F"/>
    <w:rsid w:val="00FF0652"/>
    <w:rsid w:val="00FF0E5B"/>
    <w:rsid w:val="00FF1658"/>
    <w:rsid w:val="00FF2357"/>
    <w:rsid w:val="00FF25C9"/>
    <w:rsid w:val="00FF2EB6"/>
    <w:rsid w:val="00FF3302"/>
    <w:rsid w:val="00FF38AB"/>
    <w:rsid w:val="00FF3C13"/>
    <w:rsid w:val="00FF3DB6"/>
    <w:rsid w:val="00FF4BEC"/>
    <w:rsid w:val="00FF525C"/>
    <w:rsid w:val="00FF532A"/>
    <w:rsid w:val="00FF5391"/>
    <w:rsid w:val="00FF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D316B"/>
  <w15:chartTrackingRefBased/>
  <w15:docId w15:val="{795E73AC-7887-41D7-91AB-E3B93297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8A9"/>
    <w:pPr>
      <w:ind w:left="720"/>
      <w:contextualSpacing/>
    </w:pPr>
  </w:style>
  <w:style w:type="paragraph" w:styleId="Header">
    <w:name w:val="header"/>
    <w:basedOn w:val="Normal"/>
    <w:link w:val="HeaderChar"/>
    <w:uiPriority w:val="99"/>
    <w:unhideWhenUsed/>
    <w:rsid w:val="00BD0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60C"/>
  </w:style>
  <w:style w:type="paragraph" w:styleId="Footer">
    <w:name w:val="footer"/>
    <w:basedOn w:val="Normal"/>
    <w:link w:val="FooterChar"/>
    <w:uiPriority w:val="99"/>
    <w:unhideWhenUsed/>
    <w:rsid w:val="00BD0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60C"/>
  </w:style>
  <w:style w:type="character" w:styleId="Hyperlink">
    <w:name w:val="Hyperlink"/>
    <w:basedOn w:val="DefaultParagraphFont"/>
    <w:uiPriority w:val="99"/>
    <w:unhideWhenUsed/>
    <w:rsid w:val="004C5974"/>
    <w:rPr>
      <w:color w:val="0563C1" w:themeColor="hyperlink"/>
      <w:u w:val="single"/>
    </w:rPr>
  </w:style>
  <w:style w:type="character" w:styleId="UnresolvedMention">
    <w:name w:val="Unresolved Mention"/>
    <w:basedOn w:val="DefaultParagraphFont"/>
    <w:uiPriority w:val="99"/>
    <w:semiHidden/>
    <w:unhideWhenUsed/>
    <w:rsid w:val="004C5974"/>
    <w:rPr>
      <w:color w:val="605E5C"/>
      <w:shd w:val="clear" w:color="auto" w:fill="E1DFDD"/>
    </w:rPr>
  </w:style>
  <w:style w:type="paragraph" w:styleId="EndnoteText">
    <w:name w:val="endnote text"/>
    <w:basedOn w:val="Normal"/>
    <w:link w:val="EndnoteTextChar"/>
    <w:uiPriority w:val="99"/>
    <w:semiHidden/>
    <w:unhideWhenUsed/>
    <w:rsid w:val="007B5E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5E17"/>
    <w:rPr>
      <w:sz w:val="20"/>
      <w:szCs w:val="20"/>
    </w:rPr>
  </w:style>
  <w:style w:type="character" w:styleId="EndnoteReference">
    <w:name w:val="endnote reference"/>
    <w:basedOn w:val="DefaultParagraphFont"/>
    <w:uiPriority w:val="99"/>
    <w:semiHidden/>
    <w:unhideWhenUsed/>
    <w:rsid w:val="007B5E17"/>
    <w:rPr>
      <w:vertAlign w:val="superscript"/>
    </w:rPr>
  </w:style>
  <w:style w:type="paragraph" w:styleId="FootnoteText">
    <w:name w:val="footnote text"/>
    <w:basedOn w:val="Normal"/>
    <w:link w:val="FootnoteTextChar"/>
    <w:uiPriority w:val="99"/>
    <w:unhideWhenUsed/>
    <w:rsid w:val="00A14093"/>
    <w:pPr>
      <w:spacing w:after="0" w:line="240" w:lineRule="auto"/>
    </w:pPr>
    <w:rPr>
      <w:sz w:val="20"/>
      <w:szCs w:val="20"/>
    </w:rPr>
  </w:style>
  <w:style w:type="character" w:customStyle="1" w:styleId="FootnoteTextChar">
    <w:name w:val="Footnote Text Char"/>
    <w:basedOn w:val="DefaultParagraphFont"/>
    <w:link w:val="FootnoteText"/>
    <w:uiPriority w:val="99"/>
    <w:rsid w:val="00A14093"/>
    <w:rPr>
      <w:sz w:val="20"/>
      <w:szCs w:val="20"/>
    </w:rPr>
  </w:style>
  <w:style w:type="character" w:styleId="FootnoteReference">
    <w:name w:val="footnote reference"/>
    <w:basedOn w:val="DefaultParagraphFont"/>
    <w:uiPriority w:val="99"/>
    <w:semiHidden/>
    <w:unhideWhenUsed/>
    <w:rsid w:val="00A14093"/>
    <w:rPr>
      <w:vertAlign w:val="superscript"/>
    </w:rPr>
  </w:style>
  <w:style w:type="character" w:styleId="FollowedHyperlink">
    <w:name w:val="FollowedHyperlink"/>
    <w:basedOn w:val="DefaultParagraphFont"/>
    <w:uiPriority w:val="99"/>
    <w:semiHidden/>
    <w:unhideWhenUsed/>
    <w:rsid w:val="00DB509B"/>
    <w:rPr>
      <w:color w:val="954F72" w:themeColor="followedHyperlink"/>
      <w:u w:val="single"/>
    </w:rPr>
  </w:style>
  <w:style w:type="paragraph" w:styleId="NormalWeb">
    <w:name w:val="Normal (Web)"/>
    <w:basedOn w:val="Normal"/>
    <w:uiPriority w:val="99"/>
    <w:unhideWhenUsed/>
    <w:rsid w:val="007A50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0154">
      <w:bodyDiv w:val="1"/>
      <w:marLeft w:val="0"/>
      <w:marRight w:val="0"/>
      <w:marTop w:val="0"/>
      <w:marBottom w:val="0"/>
      <w:divBdr>
        <w:top w:val="none" w:sz="0" w:space="0" w:color="auto"/>
        <w:left w:val="none" w:sz="0" w:space="0" w:color="auto"/>
        <w:bottom w:val="none" w:sz="0" w:space="0" w:color="auto"/>
        <w:right w:val="none" w:sz="0" w:space="0" w:color="auto"/>
      </w:divBdr>
    </w:div>
    <w:div w:id="200091174">
      <w:bodyDiv w:val="1"/>
      <w:marLeft w:val="0"/>
      <w:marRight w:val="0"/>
      <w:marTop w:val="0"/>
      <w:marBottom w:val="0"/>
      <w:divBdr>
        <w:top w:val="none" w:sz="0" w:space="0" w:color="auto"/>
        <w:left w:val="none" w:sz="0" w:space="0" w:color="auto"/>
        <w:bottom w:val="none" w:sz="0" w:space="0" w:color="auto"/>
        <w:right w:val="none" w:sz="0" w:space="0" w:color="auto"/>
      </w:divBdr>
    </w:div>
    <w:div w:id="1013148518">
      <w:bodyDiv w:val="1"/>
      <w:marLeft w:val="0"/>
      <w:marRight w:val="0"/>
      <w:marTop w:val="0"/>
      <w:marBottom w:val="0"/>
      <w:divBdr>
        <w:top w:val="none" w:sz="0" w:space="0" w:color="auto"/>
        <w:left w:val="none" w:sz="0" w:space="0" w:color="auto"/>
        <w:bottom w:val="none" w:sz="0" w:space="0" w:color="auto"/>
        <w:right w:val="none" w:sz="0" w:space="0" w:color="auto"/>
      </w:divBdr>
    </w:div>
    <w:div w:id="1182277330">
      <w:bodyDiv w:val="1"/>
      <w:marLeft w:val="0"/>
      <w:marRight w:val="0"/>
      <w:marTop w:val="0"/>
      <w:marBottom w:val="0"/>
      <w:divBdr>
        <w:top w:val="none" w:sz="0" w:space="0" w:color="auto"/>
        <w:left w:val="none" w:sz="0" w:space="0" w:color="auto"/>
        <w:bottom w:val="none" w:sz="0" w:space="0" w:color="auto"/>
        <w:right w:val="none" w:sz="0" w:space="0" w:color="auto"/>
      </w:divBdr>
    </w:div>
    <w:div w:id="1256868359">
      <w:bodyDiv w:val="1"/>
      <w:marLeft w:val="0"/>
      <w:marRight w:val="0"/>
      <w:marTop w:val="0"/>
      <w:marBottom w:val="0"/>
      <w:divBdr>
        <w:top w:val="none" w:sz="0" w:space="0" w:color="auto"/>
        <w:left w:val="none" w:sz="0" w:space="0" w:color="auto"/>
        <w:bottom w:val="none" w:sz="0" w:space="0" w:color="auto"/>
        <w:right w:val="none" w:sz="0" w:space="0" w:color="auto"/>
      </w:divBdr>
    </w:div>
    <w:div w:id="1267890190">
      <w:bodyDiv w:val="1"/>
      <w:marLeft w:val="0"/>
      <w:marRight w:val="0"/>
      <w:marTop w:val="0"/>
      <w:marBottom w:val="0"/>
      <w:divBdr>
        <w:top w:val="none" w:sz="0" w:space="0" w:color="auto"/>
        <w:left w:val="none" w:sz="0" w:space="0" w:color="auto"/>
        <w:bottom w:val="none" w:sz="0" w:space="0" w:color="auto"/>
        <w:right w:val="none" w:sz="0" w:space="0" w:color="auto"/>
      </w:divBdr>
      <w:divsChild>
        <w:div w:id="892500519">
          <w:marLeft w:val="0"/>
          <w:marRight w:val="0"/>
          <w:marTop w:val="0"/>
          <w:marBottom w:val="0"/>
          <w:divBdr>
            <w:top w:val="none" w:sz="0" w:space="0" w:color="auto"/>
            <w:left w:val="none" w:sz="0" w:space="0" w:color="auto"/>
            <w:bottom w:val="none" w:sz="0" w:space="0" w:color="auto"/>
            <w:right w:val="none" w:sz="0" w:space="0" w:color="auto"/>
          </w:divBdr>
        </w:div>
      </w:divsChild>
    </w:div>
    <w:div w:id="1393231203">
      <w:bodyDiv w:val="1"/>
      <w:marLeft w:val="0"/>
      <w:marRight w:val="0"/>
      <w:marTop w:val="0"/>
      <w:marBottom w:val="0"/>
      <w:divBdr>
        <w:top w:val="none" w:sz="0" w:space="0" w:color="auto"/>
        <w:left w:val="none" w:sz="0" w:space="0" w:color="auto"/>
        <w:bottom w:val="none" w:sz="0" w:space="0" w:color="auto"/>
        <w:right w:val="none" w:sz="0" w:space="0" w:color="auto"/>
      </w:divBdr>
    </w:div>
    <w:div w:id="195266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z02</b:Tag>
    <b:SourceType>Book</b:SourceType>
    <b:Guid>{E1DC14B8-783F-4BD6-AF89-191A6AB61C5F}</b:Guid>
    <b:Author>
      <b:Author>
        <b:NameList>
          <b:Person>
            <b:Last>z</b:Last>
          </b:Person>
        </b:NameList>
      </b:Author>
    </b:Author>
    <b:Title>z</b:Title>
    <b:Year>2002</b:Year>
    <b:City>c</b:City>
    <b:Publisher>c</b:Publisher>
    <b:RefOrder>1</b:RefOrder>
  </b:Source>
</b:Sources>
</file>

<file path=customXml/itemProps1.xml><?xml version="1.0" encoding="utf-8"?>
<ds:datastoreItem xmlns:ds="http://schemas.openxmlformats.org/officeDocument/2006/customXml" ds:itemID="{44B12BDA-1D6A-4173-897B-21989497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8414</Words>
  <Characters>47964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Buy</dc:creator>
  <cp:keywords/>
  <dc:description/>
  <cp:lastModifiedBy>Christina E Principe</cp:lastModifiedBy>
  <cp:revision>6</cp:revision>
  <dcterms:created xsi:type="dcterms:W3CDTF">2022-02-17T00:30:00Z</dcterms:created>
  <dcterms:modified xsi:type="dcterms:W3CDTF">2022-03-15T07:49:00Z</dcterms:modified>
</cp:coreProperties>
</file>